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楷体_GB2312" w:hAnsi="楷体_GB2312" w:eastAsia="楷体" w:cs="楷体"/>
          <w:b/>
          <w:kern w:val="1"/>
          <w:sz w:val="44"/>
          <w:szCs w:val="44"/>
          <w:u w:val="single"/>
        </w:rPr>
      </w:pPr>
      <w:r>
        <w:rPr>
          <w:rFonts w:ascii="Calibri" w:hAnsi="Calibri" w:eastAsia="宋体" w:cs="Times New Roman"/>
          <w:b/>
          <w:bCs/>
          <w:kern w:val="1"/>
          <w:sz w:val="44"/>
          <w:szCs w:val="44"/>
          <w:u w:val="single"/>
        </w:rPr>
        <w:t>CLW50</w:t>
      </w:r>
      <w:r>
        <w:rPr>
          <w:rFonts w:hint="eastAsia" w:ascii="Calibri" w:hAnsi="Calibri" w:eastAsia="宋体" w:cs="Times New Roman"/>
          <w:b/>
          <w:bCs/>
          <w:kern w:val="1"/>
          <w:sz w:val="44"/>
          <w:szCs w:val="44"/>
          <w:u w:val="single"/>
          <w:lang w:val="en-US" w:eastAsia="zh-CN"/>
        </w:rPr>
        <w:t>71</w:t>
      </w:r>
      <w:r>
        <w:rPr>
          <w:rFonts w:ascii="Calibri" w:hAnsi="Calibri" w:eastAsia="宋体" w:cs="Times New Roman"/>
          <w:b/>
          <w:bCs/>
          <w:kern w:val="1"/>
          <w:sz w:val="44"/>
          <w:szCs w:val="44"/>
          <w:u w:val="single"/>
        </w:rPr>
        <w:t>ZYS</w:t>
      </w:r>
      <w:r>
        <w:rPr>
          <w:rFonts w:hint="eastAsia" w:ascii="Calibri" w:hAnsi="Calibri" w:eastAsia="宋体" w:cs="Times New Roman"/>
          <w:b/>
          <w:bCs/>
          <w:kern w:val="1"/>
          <w:sz w:val="44"/>
          <w:szCs w:val="44"/>
          <w:u w:val="single"/>
          <w:lang w:val="en-US" w:eastAsia="zh-CN"/>
        </w:rPr>
        <w:t>6</w:t>
      </w:r>
      <w:bookmarkStart w:id="41" w:name="_GoBack"/>
      <w:bookmarkEnd w:id="41"/>
      <w:r>
        <w:rPr>
          <w:rFonts w:ascii="楷体_GB2312" w:hAnsi="楷体_GB2312" w:eastAsia="楷体" w:cs="楷体"/>
          <w:b/>
          <w:kern w:val="1"/>
          <w:sz w:val="44"/>
          <w:szCs w:val="44"/>
          <w:u w:val="single"/>
        </w:rPr>
        <w:t>型国</w:t>
      </w:r>
      <w:r>
        <w:rPr>
          <w:rFonts w:hint="eastAsia" w:ascii="楷体_GB2312" w:hAnsi="楷体_GB2312" w:eastAsia="楷体" w:cs="楷体"/>
          <w:b/>
          <w:kern w:val="1"/>
          <w:sz w:val="44"/>
          <w:szCs w:val="44"/>
          <w:u w:val="single"/>
          <w:lang w:eastAsia="zh-CN"/>
        </w:rPr>
        <w:t>六</w:t>
      </w:r>
      <w:r>
        <w:rPr>
          <w:rFonts w:hint="eastAsia" w:ascii="楷体_GB2312" w:hAnsi="楷体_GB2312" w:eastAsia="楷体" w:cs="楷体"/>
          <w:b/>
          <w:kern w:val="1"/>
          <w:sz w:val="44"/>
          <w:szCs w:val="44"/>
          <w:u w:val="single"/>
          <w:lang w:val="en-US" w:eastAsia="zh-CN"/>
        </w:rPr>
        <w:t>6</w:t>
      </w:r>
      <w:r>
        <w:rPr>
          <w:rFonts w:hint="eastAsia" w:ascii="楷体_GB2312" w:hAnsi="楷体_GB2312" w:eastAsia="楷体" w:cs="楷体"/>
          <w:b/>
          <w:kern w:val="1"/>
          <w:sz w:val="44"/>
          <w:szCs w:val="44"/>
          <w:u w:val="single"/>
        </w:rPr>
        <w:t>方</w:t>
      </w:r>
      <w:r>
        <w:rPr>
          <w:rFonts w:ascii="楷体_GB2312" w:hAnsi="楷体_GB2312" w:eastAsia="楷体" w:cs="楷体"/>
          <w:b/>
          <w:kern w:val="1"/>
          <w:sz w:val="44"/>
          <w:szCs w:val="44"/>
          <w:u w:val="single"/>
        </w:rPr>
        <w:t>压缩式垃圾车</w:t>
      </w:r>
    </w:p>
    <w:p>
      <w:pPr>
        <w:jc w:val="center"/>
        <w:rPr>
          <w:rFonts w:hint="eastAsia" w:ascii="楷体_GB2312" w:hAnsi="楷体_GB2312" w:eastAsia="楷体" w:cs="楷体"/>
          <w:b/>
          <w:kern w:val="1"/>
          <w:sz w:val="44"/>
          <w:szCs w:val="44"/>
          <w:u w:val="single"/>
        </w:rPr>
      </w:pPr>
      <w:r>
        <w:rPr>
          <w:rFonts w:hint="eastAsia" w:ascii="楷体_GB2312" w:hAnsi="楷体_GB2312" w:eastAsia="楷体" w:cs="楷体"/>
          <w:b/>
          <w:color w:val="C00000"/>
          <w:kern w:val="1"/>
          <w:sz w:val="36"/>
          <w:szCs w:val="36"/>
          <w:lang w:eastAsia="zh-CN"/>
        </w:rPr>
        <w:drawing>
          <wp:inline distT="0" distB="0" distL="114300" distR="114300">
            <wp:extent cx="5683885" cy="3737610"/>
            <wp:effectExtent l="0" t="0" r="635" b="11430"/>
            <wp:docPr id="11" name="图片 5" descr="2019_09_10_10_02_IMG_7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5" descr="2019_09_10_10_02_IMG_700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683885" cy="3737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rPr>
          <w:rFonts w:hint="eastAsia"/>
        </w:rPr>
        <w:t xml:space="preserve">         </w:t>
      </w:r>
    </w:p>
    <w:p>
      <w:pPr>
        <w:numPr>
          <w:ilvl w:val="0"/>
          <w:numId w:val="1"/>
        </w:numPr>
        <w:rPr>
          <w:rFonts w:hint="eastAsia"/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公告参数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16"/>
        <w:gridCol w:w="2910"/>
        <w:gridCol w:w="2016"/>
        <w:gridCol w:w="291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854" w:type="dxa"/>
            <w:gridSpan w:val="4"/>
            <w:shd w:val="clear" w:color="auto" w:fill="DCDCDC"/>
            <w:noWrap w:val="0"/>
            <w:vAlign w:val="top"/>
          </w:tcPr>
          <w:p>
            <w:pPr>
              <w:jc w:val="left"/>
              <w:rPr>
                <w:rFonts w:ascii="宋体" w:hAnsi="宋体"/>
                <w:b/>
                <w:sz w:val="18"/>
              </w:rPr>
            </w:pPr>
            <w:r>
              <w:rPr>
                <w:rFonts w:hint="eastAsia" w:ascii="宋体" w:hAnsi="宋体"/>
                <w:b/>
                <w:sz w:val="18"/>
              </w:rPr>
              <w:t>【整车技术参数】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16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产品商标</w:t>
            </w:r>
          </w:p>
        </w:tc>
        <w:tc>
          <w:tcPr>
            <w:tcW w:w="2910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bookmarkStart w:id="0" w:name="cpsb"/>
            <w:r>
              <w:rPr>
                <w:rFonts w:ascii="宋体" w:hAnsi="宋体"/>
                <w:sz w:val="18"/>
              </w:rPr>
              <w:t>程力威牌</w:t>
            </w:r>
            <w:bookmarkEnd w:id="0"/>
          </w:p>
        </w:tc>
        <w:tc>
          <w:tcPr>
            <w:tcW w:w="2016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公告批次</w:t>
            </w:r>
          </w:p>
        </w:tc>
        <w:tc>
          <w:tcPr>
            <w:tcW w:w="2912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bookmarkStart w:id="1" w:name="pc"/>
            <w:r>
              <w:rPr>
                <w:rFonts w:ascii="宋体" w:hAnsi="宋体"/>
                <w:sz w:val="18"/>
              </w:rPr>
              <w:t>329</w:t>
            </w:r>
            <w:bookmarkEnd w:id="1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16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产品名称</w:t>
            </w:r>
          </w:p>
        </w:tc>
        <w:tc>
          <w:tcPr>
            <w:tcW w:w="2910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bookmarkStart w:id="2" w:name="cpmc"/>
            <w:r>
              <w:rPr>
                <w:rFonts w:ascii="宋体" w:hAnsi="宋体"/>
                <w:sz w:val="18"/>
              </w:rPr>
              <w:t>压缩式垃圾车</w:t>
            </w:r>
            <w:bookmarkEnd w:id="2"/>
          </w:p>
        </w:tc>
        <w:tc>
          <w:tcPr>
            <w:tcW w:w="2016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产品型号</w:t>
            </w:r>
          </w:p>
        </w:tc>
        <w:tc>
          <w:tcPr>
            <w:tcW w:w="2912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bookmarkStart w:id="3" w:name="cpxh"/>
            <w:r>
              <w:rPr>
                <w:rFonts w:ascii="宋体" w:hAnsi="宋体"/>
                <w:sz w:val="18"/>
              </w:rPr>
              <w:t>CLW5071ZYS6</w:t>
            </w:r>
            <w:bookmarkEnd w:id="3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16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总质量</w:t>
            </w:r>
            <w:r>
              <w:rPr>
                <w:rFonts w:ascii="宋体" w:hAnsi="宋体"/>
                <w:sz w:val="18"/>
              </w:rPr>
              <w:t>(Kg)</w:t>
            </w:r>
          </w:p>
        </w:tc>
        <w:tc>
          <w:tcPr>
            <w:tcW w:w="2910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bookmarkStart w:id="4" w:name="zzl"/>
            <w:r>
              <w:rPr>
                <w:rFonts w:ascii="宋体" w:hAnsi="宋体"/>
                <w:sz w:val="18"/>
              </w:rPr>
              <w:t>7360</w:t>
            </w:r>
            <w:bookmarkEnd w:id="4"/>
          </w:p>
        </w:tc>
        <w:tc>
          <w:tcPr>
            <w:tcW w:w="2016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罐体容积</w:t>
            </w:r>
            <w:r>
              <w:rPr>
                <w:rFonts w:ascii="宋体" w:hAnsi="宋体"/>
                <w:sz w:val="18"/>
              </w:rPr>
              <w:t>(m3)</w:t>
            </w:r>
          </w:p>
        </w:tc>
        <w:tc>
          <w:tcPr>
            <w:tcW w:w="2912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bookmarkStart w:id="5" w:name="gtrj"/>
          </w:p>
          <w:bookmarkEnd w:id="5"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16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额定载质量</w:t>
            </w:r>
            <w:r>
              <w:rPr>
                <w:rFonts w:ascii="宋体" w:hAnsi="宋体"/>
                <w:sz w:val="18"/>
              </w:rPr>
              <w:t>(Kg)</w:t>
            </w:r>
          </w:p>
        </w:tc>
        <w:tc>
          <w:tcPr>
            <w:tcW w:w="2910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bookmarkStart w:id="6" w:name="edzl"/>
            <w:r>
              <w:rPr>
                <w:rFonts w:ascii="宋体" w:hAnsi="宋体"/>
                <w:sz w:val="18"/>
              </w:rPr>
              <w:t>1650</w:t>
            </w:r>
            <w:bookmarkEnd w:id="6"/>
          </w:p>
        </w:tc>
        <w:tc>
          <w:tcPr>
            <w:tcW w:w="2016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外形尺寸</w:t>
            </w:r>
            <w:r>
              <w:rPr>
                <w:rFonts w:ascii="宋体" w:hAnsi="宋体"/>
                <w:sz w:val="18"/>
              </w:rPr>
              <w:t>(mm)</w:t>
            </w:r>
          </w:p>
        </w:tc>
        <w:tc>
          <w:tcPr>
            <w:tcW w:w="2912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bookmarkStart w:id="7" w:name="c"/>
            <w:r>
              <w:rPr>
                <w:rFonts w:ascii="宋体" w:hAnsi="宋体"/>
                <w:sz w:val="18"/>
              </w:rPr>
              <w:t>6560</w:t>
            </w:r>
            <w:bookmarkEnd w:id="7"/>
            <w:r>
              <w:rPr>
                <w:rFonts w:ascii="宋体" w:hAnsi="宋体"/>
                <w:sz w:val="18"/>
              </w:rPr>
              <w:t>×</w:t>
            </w:r>
            <w:bookmarkStart w:id="8" w:name="k"/>
            <w:r>
              <w:rPr>
                <w:rFonts w:ascii="宋体" w:hAnsi="宋体"/>
                <w:sz w:val="18"/>
              </w:rPr>
              <w:t>2050</w:t>
            </w:r>
            <w:bookmarkEnd w:id="8"/>
            <w:r>
              <w:rPr>
                <w:rFonts w:ascii="宋体" w:hAnsi="宋体"/>
                <w:sz w:val="18"/>
              </w:rPr>
              <w:t>×</w:t>
            </w:r>
            <w:bookmarkStart w:id="9" w:name="g"/>
            <w:r>
              <w:rPr>
                <w:rFonts w:ascii="宋体" w:hAnsi="宋体"/>
                <w:sz w:val="18"/>
              </w:rPr>
              <w:t>2650</w:t>
            </w:r>
            <w:bookmarkEnd w:id="9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16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整备质量</w:t>
            </w:r>
            <w:r>
              <w:rPr>
                <w:rFonts w:ascii="宋体" w:hAnsi="宋体"/>
                <w:sz w:val="18"/>
              </w:rPr>
              <w:t>(Kg)</w:t>
            </w:r>
          </w:p>
        </w:tc>
        <w:tc>
          <w:tcPr>
            <w:tcW w:w="2910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bookmarkStart w:id="10" w:name="zbzl"/>
            <w:r>
              <w:rPr>
                <w:rFonts w:ascii="宋体" w:hAnsi="宋体"/>
                <w:sz w:val="18"/>
              </w:rPr>
              <w:t>5580</w:t>
            </w:r>
            <w:bookmarkEnd w:id="10"/>
          </w:p>
        </w:tc>
        <w:tc>
          <w:tcPr>
            <w:tcW w:w="2016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货厢尺寸</w:t>
            </w:r>
            <w:r>
              <w:rPr>
                <w:rFonts w:ascii="宋体" w:hAnsi="宋体"/>
                <w:sz w:val="18"/>
              </w:rPr>
              <w:t>(mm)</w:t>
            </w:r>
          </w:p>
        </w:tc>
        <w:tc>
          <w:tcPr>
            <w:tcW w:w="2912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bookmarkStart w:id="11" w:name="hc"/>
            <w:bookmarkEnd w:id="11"/>
            <w:r>
              <w:rPr>
                <w:rFonts w:ascii="宋体" w:hAnsi="宋体"/>
                <w:sz w:val="18"/>
              </w:rPr>
              <w:t>×</w:t>
            </w:r>
            <w:bookmarkStart w:id="12" w:name="hk"/>
            <w:bookmarkEnd w:id="12"/>
            <w:r>
              <w:rPr>
                <w:rFonts w:ascii="宋体" w:hAnsi="宋体"/>
                <w:sz w:val="18"/>
              </w:rPr>
              <w:t>×</w:t>
            </w:r>
            <w:bookmarkStart w:id="13" w:name="hg"/>
          </w:p>
          <w:bookmarkEnd w:id="13"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16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额定载客</w:t>
            </w:r>
            <w:r>
              <w:rPr>
                <w:rFonts w:ascii="宋体" w:hAnsi="宋体"/>
                <w:sz w:val="18"/>
              </w:rPr>
              <w:t>(人)</w:t>
            </w:r>
          </w:p>
        </w:tc>
        <w:tc>
          <w:tcPr>
            <w:tcW w:w="2910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bookmarkStart w:id="14" w:name="edzk"/>
            <w:bookmarkEnd w:id="14"/>
          </w:p>
        </w:tc>
        <w:tc>
          <w:tcPr>
            <w:tcW w:w="2016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准拖挂车总质量</w:t>
            </w:r>
            <w:r>
              <w:rPr>
                <w:rFonts w:ascii="宋体" w:hAnsi="宋体"/>
                <w:sz w:val="18"/>
              </w:rPr>
              <w:t>(Kg)</w:t>
            </w:r>
          </w:p>
        </w:tc>
        <w:tc>
          <w:tcPr>
            <w:tcW w:w="2912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bookmarkStart w:id="15" w:name="gczl"/>
          </w:p>
          <w:bookmarkEnd w:id="15"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16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驾驶室准乘人数</w:t>
            </w:r>
            <w:r>
              <w:rPr>
                <w:rFonts w:ascii="宋体" w:hAnsi="宋体"/>
                <w:sz w:val="18"/>
              </w:rPr>
              <w:t>(人)</w:t>
            </w:r>
          </w:p>
        </w:tc>
        <w:tc>
          <w:tcPr>
            <w:tcW w:w="2910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bookmarkStart w:id="16" w:name="qpck"/>
            <w:r>
              <w:rPr>
                <w:rFonts w:ascii="宋体" w:hAnsi="宋体"/>
                <w:sz w:val="18"/>
              </w:rPr>
              <w:t>2</w:t>
            </w:r>
            <w:bookmarkEnd w:id="16"/>
          </w:p>
        </w:tc>
        <w:tc>
          <w:tcPr>
            <w:tcW w:w="2016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鞍座最大载质量</w:t>
            </w:r>
            <w:r>
              <w:rPr>
                <w:rFonts w:ascii="宋体" w:hAnsi="宋体"/>
                <w:sz w:val="18"/>
              </w:rPr>
              <w:t>(Kg)</w:t>
            </w:r>
          </w:p>
        </w:tc>
        <w:tc>
          <w:tcPr>
            <w:tcW w:w="2912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bookmarkStart w:id="17" w:name="zaizl"/>
          </w:p>
          <w:bookmarkEnd w:id="17"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16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接近角</w:t>
            </w:r>
            <w:r>
              <w:rPr>
                <w:rFonts w:ascii="宋体" w:hAnsi="宋体"/>
                <w:sz w:val="18"/>
              </w:rPr>
              <w:t>/离去角(°)</w:t>
            </w:r>
          </w:p>
        </w:tc>
        <w:tc>
          <w:tcPr>
            <w:tcW w:w="2910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bookmarkStart w:id="18" w:name="jjlqj"/>
            <w:r>
              <w:rPr>
                <w:rFonts w:ascii="宋体" w:hAnsi="宋体"/>
                <w:sz w:val="18"/>
              </w:rPr>
              <w:t>27.7/14</w:t>
            </w:r>
            <w:bookmarkEnd w:id="18"/>
          </w:p>
        </w:tc>
        <w:tc>
          <w:tcPr>
            <w:tcW w:w="2016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前悬</w:t>
            </w:r>
            <w:r>
              <w:rPr>
                <w:rFonts w:ascii="宋体" w:hAnsi="宋体"/>
                <w:sz w:val="18"/>
              </w:rPr>
              <w:t>/后悬(mm)</w:t>
            </w:r>
          </w:p>
        </w:tc>
        <w:tc>
          <w:tcPr>
            <w:tcW w:w="2912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bookmarkStart w:id="19" w:name="qxhx"/>
            <w:r>
              <w:rPr>
                <w:rFonts w:ascii="宋体" w:hAnsi="宋体"/>
                <w:sz w:val="18"/>
              </w:rPr>
              <w:t>1055/1947</w:t>
            </w:r>
            <w:bookmarkEnd w:id="19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16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轴荷</w:t>
            </w:r>
            <w:r>
              <w:rPr>
                <w:rFonts w:ascii="宋体" w:hAnsi="宋体"/>
                <w:sz w:val="18"/>
              </w:rPr>
              <w:t>(Kg)</w:t>
            </w:r>
          </w:p>
        </w:tc>
        <w:tc>
          <w:tcPr>
            <w:tcW w:w="2910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bookmarkStart w:id="20" w:name="zh"/>
            <w:r>
              <w:rPr>
                <w:rFonts w:ascii="宋体" w:hAnsi="宋体"/>
                <w:sz w:val="18"/>
              </w:rPr>
              <w:t>2640/4720</w:t>
            </w:r>
            <w:bookmarkEnd w:id="20"/>
          </w:p>
        </w:tc>
        <w:tc>
          <w:tcPr>
            <w:tcW w:w="2016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最高车速</w:t>
            </w:r>
            <w:r>
              <w:rPr>
                <w:rFonts w:ascii="宋体" w:hAnsi="宋体"/>
                <w:sz w:val="18"/>
              </w:rPr>
              <w:t>(Km/h)</w:t>
            </w:r>
          </w:p>
        </w:tc>
        <w:tc>
          <w:tcPr>
            <w:tcW w:w="2912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bookmarkStart w:id="21" w:name="zgcs"/>
            <w:r>
              <w:rPr>
                <w:rFonts w:ascii="宋体" w:hAnsi="宋体"/>
                <w:sz w:val="18"/>
              </w:rPr>
              <w:t>110</w:t>
            </w:r>
            <w:bookmarkEnd w:id="21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16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备注</w:t>
            </w:r>
          </w:p>
        </w:tc>
        <w:tc>
          <w:tcPr>
            <w:tcW w:w="7838" w:type="dxa"/>
            <w:gridSpan w:val="3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bookmarkStart w:id="22" w:name="qt"/>
            <w:r>
              <w:rPr>
                <w:rFonts w:ascii="宋体" w:hAnsi="宋体"/>
                <w:sz w:val="18"/>
              </w:rPr>
              <w:t>1、仅选用3308mm轴距,该车后伸为250mm。2、防护材料:Q235B碳钢,连接方式:左右侧面防护采用焊接连接,后部防护由专用装置代替,离地高度为420mm.。3、ABS型号/厂家:ABS/ASR-12V-4S/4M/襄阳东风隆诚机械有限责任公司。4、发动机型号与油耗值对应关系为(L/100km):D20TCIF1/16.2,YCY24140-60/16.2,CA4DB1-11E6/16.2,ZD30D16-6N/16.2,CY4BK461/16.2,CY4BK161/16.2,Q23-115E60/16.2,H20-120E60/16.2,CA4DB1-13E6/16.2。专用装置:液压机构和填塞器,主要用于城镇环卫垃圾的运输。 5、随底盘选装驾驶室,可选装尾部翻转机构样式。</w:t>
            </w:r>
            <w:bookmarkEnd w:id="22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854" w:type="dxa"/>
            <w:gridSpan w:val="4"/>
            <w:shd w:val="clear" w:color="auto" w:fill="DCDCDC"/>
            <w:noWrap w:val="0"/>
            <w:vAlign w:val="top"/>
          </w:tcPr>
          <w:p>
            <w:pPr>
              <w:jc w:val="left"/>
              <w:rPr>
                <w:rFonts w:ascii="宋体" w:hAnsi="宋体"/>
                <w:b/>
                <w:sz w:val="18"/>
              </w:rPr>
            </w:pPr>
            <w:r>
              <w:rPr>
                <w:rFonts w:hint="eastAsia" w:ascii="宋体" w:hAnsi="宋体"/>
                <w:b/>
                <w:sz w:val="18"/>
              </w:rPr>
              <w:t>【</w:t>
            </w:r>
            <w:bookmarkStart w:id="23" w:name="qtorzc"/>
            <w:r>
              <w:rPr>
                <w:rFonts w:hint="eastAsia" w:ascii="宋体" w:hAnsi="宋体"/>
                <w:b/>
                <w:sz w:val="18"/>
              </w:rPr>
              <w:t>底盘技术</w:t>
            </w:r>
            <w:bookmarkEnd w:id="23"/>
            <w:r>
              <w:rPr>
                <w:rFonts w:hint="eastAsia" w:ascii="宋体" w:hAnsi="宋体"/>
                <w:b/>
                <w:sz w:val="18"/>
              </w:rPr>
              <w:t>参数】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16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底盘型号</w:t>
            </w:r>
          </w:p>
        </w:tc>
        <w:tc>
          <w:tcPr>
            <w:tcW w:w="2910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bookmarkStart w:id="24" w:name="dpxh"/>
            <w:r>
              <w:rPr>
                <w:rFonts w:ascii="宋体" w:hAnsi="宋体"/>
                <w:sz w:val="18"/>
              </w:rPr>
              <w:t>EQ1075SJ3CDF</w:t>
            </w:r>
            <w:bookmarkEnd w:id="24"/>
          </w:p>
        </w:tc>
        <w:tc>
          <w:tcPr>
            <w:tcW w:w="2016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底盘名称</w:t>
            </w:r>
          </w:p>
        </w:tc>
        <w:tc>
          <w:tcPr>
            <w:tcW w:w="2912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bookmarkStart w:id="25" w:name="dpmc"/>
            <w:r>
              <w:rPr>
                <w:rFonts w:ascii="宋体" w:hAnsi="宋体"/>
                <w:sz w:val="18"/>
              </w:rPr>
              <w:t>载货汽车底盘</w:t>
            </w:r>
            <w:bookmarkEnd w:id="25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16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商标名称</w:t>
            </w:r>
          </w:p>
        </w:tc>
        <w:tc>
          <w:tcPr>
            <w:tcW w:w="2910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bookmarkStart w:id="26" w:name="dpsb"/>
            <w:r>
              <w:rPr>
                <w:rFonts w:ascii="宋体" w:hAnsi="宋体"/>
                <w:sz w:val="18"/>
              </w:rPr>
              <w:t>东风牌</w:t>
            </w:r>
            <w:bookmarkEnd w:id="26"/>
          </w:p>
        </w:tc>
        <w:tc>
          <w:tcPr>
            <w:tcW w:w="2016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生产企业</w:t>
            </w:r>
          </w:p>
        </w:tc>
        <w:tc>
          <w:tcPr>
            <w:tcW w:w="2912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bookmarkStart w:id="27" w:name="dpqy"/>
            <w:r>
              <w:rPr>
                <w:rFonts w:ascii="宋体" w:hAnsi="宋体"/>
                <w:sz w:val="18"/>
              </w:rPr>
              <w:t>东风汽车股份有限公司</w:t>
            </w:r>
            <w:bookmarkEnd w:id="27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16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hint="eastAsia"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轴数</w:t>
            </w:r>
          </w:p>
        </w:tc>
        <w:tc>
          <w:tcPr>
            <w:tcW w:w="2910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bookmarkStart w:id="28" w:name="zs"/>
            <w:r>
              <w:rPr>
                <w:rFonts w:ascii="宋体" w:hAnsi="宋体"/>
                <w:sz w:val="18"/>
              </w:rPr>
              <w:t>2</w:t>
            </w:r>
            <w:bookmarkEnd w:id="28"/>
          </w:p>
        </w:tc>
        <w:tc>
          <w:tcPr>
            <w:tcW w:w="2016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hint="eastAsia"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轮胎数</w:t>
            </w:r>
          </w:p>
        </w:tc>
        <w:tc>
          <w:tcPr>
            <w:tcW w:w="2912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bookmarkStart w:id="29" w:name="lts"/>
            <w:r>
              <w:rPr>
                <w:rFonts w:ascii="宋体" w:hAnsi="宋体"/>
                <w:sz w:val="18"/>
              </w:rPr>
              <w:t>6</w:t>
            </w:r>
            <w:bookmarkEnd w:id="29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16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hint="eastAsia"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轴距 (mm)</w:t>
            </w:r>
          </w:p>
        </w:tc>
        <w:tc>
          <w:tcPr>
            <w:tcW w:w="7838" w:type="dxa"/>
            <w:gridSpan w:val="3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bookmarkStart w:id="30" w:name="zj"/>
            <w:r>
              <w:rPr>
                <w:rFonts w:ascii="宋体" w:hAnsi="宋体"/>
                <w:sz w:val="18"/>
              </w:rPr>
              <w:t>2700,2950,3308</w:t>
            </w:r>
            <w:bookmarkEnd w:id="3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16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hint="eastAsia"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轮胎规格</w:t>
            </w:r>
          </w:p>
        </w:tc>
        <w:tc>
          <w:tcPr>
            <w:tcW w:w="7838" w:type="dxa"/>
            <w:gridSpan w:val="3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bookmarkStart w:id="31" w:name="ltgg"/>
            <w:r>
              <w:rPr>
                <w:rFonts w:ascii="宋体" w:hAnsi="宋体"/>
                <w:sz w:val="18"/>
              </w:rPr>
              <w:t>7.00R16</w:t>
            </w:r>
            <w:bookmarkEnd w:id="31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16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钢板弹簧片数</w:t>
            </w:r>
          </w:p>
        </w:tc>
        <w:tc>
          <w:tcPr>
            <w:tcW w:w="2910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bookmarkStart w:id="32" w:name="dpthps"/>
            <w:r>
              <w:rPr>
                <w:rFonts w:ascii="宋体" w:hAnsi="宋体"/>
                <w:sz w:val="18"/>
              </w:rPr>
              <w:t>6/6+5</w:t>
            </w:r>
            <w:bookmarkEnd w:id="32"/>
          </w:p>
        </w:tc>
        <w:tc>
          <w:tcPr>
            <w:tcW w:w="2016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前轮距</w:t>
            </w:r>
            <w:r>
              <w:rPr>
                <w:rFonts w:ascii="宋体" w:hAnsi="宋体"/>
                <w:sz w:val="18"/>
              </w:rPr>
              <w:t>(mm)</w:t>
            </w:r>
          </w:p>
        </w:tc>
        <w:tc>
          <w:tcPr>
            <w:tcW w:w="2912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bookmarkStart w:id="33" w:name="dpqlj"/>
            <w:r>
              <w:rPr>
                <w:rFonts w:ascii="宋体" w:hAnsi="宋体"/>
                <w:sz w:val="18"/>
              </w:rPr>
              <w:t>1525,1519</w:t>
            </w:r>
            <w:bookmarkEnd w:id="33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16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燃料种类</w:t>
            </w:r>
          </w:p>
        </w:tc>
        <w:tc>
          <w:tcPr>
            <w:tcW w:w="2910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bookmarkStart w:id="34" w:name="dpryzl"/>
            <w:r>
              <w:rPr>
                <w:rFonts w:ascii="宋体" w:hAnsi="宋体"/>
                <w:sz w:val="18"/>
              </w:rPr>
              <w:t>柴油</w:t>
            </w:r>
            <w:bookmarkEnd w:id="34"/>
          </w:p>
        </w:tc>
        <w:tc>
          <w:tcPr>
            <w:tcW w:w="2016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后轮距</w:t>
            </w:r>
            <w:r>
              <w:rPr>
                <w:rFonts w:ascii="宋体" w:hAnsi="宋体"/>
                <w:sz w:val="18"/>
              </w:rPr>
              <w:t>(mm)</w:t>
            </w:r>
          </w:p>
        </w:tc>
        <w:tc>
          <w:tcPr>
            <w:tcW w:w="2912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bookmarkStart w:id="35" w:name="dphlj"/>
            <w:r>
              <w:rPr>
                <w:rFonts w:ascii="宋体" w:hAnsi="宋体"/>
                <w:sz w:val="18"/>
              </w:rPr>
              <w:t>1498,1516</w:t>
            </w:r>
            <w:bookmarkEnd w:id="35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16" w:type="dxa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排放依据标准</w:t>
            </w:r>
          </w:p>
        </w:tc>
        <w:tc>
          <w:tcPr>
            <w:tcW w:w="7838" w:type="dxa"/>
            <w:gridSpan w:val="3"/>
            <w:tcBorders>
              <w:bottom w:val="single" w:color="auto" w:sz="4" w:space="0"/>
            </w:tcBorders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bookmarkStart w:id="36" w:name="dppfbz"/>
            <w:r>
              <w:rPr>
                <w:rFonts w:ascii="宋体" w:hAnsi="宋体"/>
                <w:sz w:val="18"/>
              </w:rPr>
              <w:t>GB3847-2005,GB17691-2018国Ⅵ</w:t>
            </w:r>
            <w:bookmarkEnd w:id="36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16" w:type="dxa"/>
            <w:shd w:val="clear" w:color="auto" w:fill="DCDCDC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发动机型号</w:t>
            </w:r>
          </w:p>
        </w:tc>
        <w:tc>
          <w:tcPr>
            <w:tcW w:w="2910" w:type="dxa"/>
            <w:shd w:val="clear" w:color="auto" w:fill="DCDCDC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发动机生产企业</w:t>
            </w:r>
          </w:p>
        </w:tc>
        <w:tc>
          <w:tcPr>
            <w:tcW w:w="2016" w:type="dxa"/>
            <w:shd w:val="clear" w:color="auto" w:fill="DCDCDC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排量</w:t>
            </w:r>
            <w:r>
              <w:rPr>
                <w:rFonts w:ascii="宋体" w:hAnsi="宋体"/>
                <w:sz w:val="18"/>
              </w:rPr>
              <w:t>(ml)</w:t>
            </w:r>
          </w:p>
        </w:tc>
        <w:tc>
          <w:tcPr>
            <w:tcW w:w="2912" w:type="dxa"/>
            <w:shd w:val="clear" w:color="auto" w:fill="DCDCDC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r>
              <w:rPr>
                <w:rFonts w:hint="eastAsia" w:ascii="宋体" w:hAnsi="宋体"/>
                <w:sz w:val="18"/>
              </w:rPr>
              <w:t>功率</w:t>
            </w:r>
            <w:r>
              <w:rPr>
                <w:rFonts w:ascii="宋体" w:hAnsi="宋体"/>
                <w:sz w:val="18"/>
              </w:rPr>
              <w:t>(Kw)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16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bookmarkStart w:id="37" w:name="dp_fdj"/>
            <w:r>
              <w:rPr>
                <w:rFonts w:ascii="宋体" w:hAnsi="宋体"/>
                <w:sz w:val="18"/>
              </w:rPr>
              <w:t>D20TCIF1</w:t>
            </w:r>
          </w:p>
          <w:p>
            <w:pPr>
              <w:jc w:val="left"/>
              <w:rPr>
                <w:rFonts w:ascii="宋体" w:hAnsi="宋体"/>
                <w:sz w:val="18"/>
              </w:rPr>
            </w:pPr>
            <w:r>
              <w:rPr>
                <w:rFonts w:ascii="宋体" w:hAnsi="宋体"/>
                <w:sz w:val="18"/>
              </w:rPr>
              <w:t>YCY24140-60</w:t>
            </w:r>
          </w:p>
          <w:p>
            <w:pPr>
              <w:jc w:val="left"/>
              <w:rPr>
                <w:rFonts w:ascii="宋体" w:hAnsi="宋体"/>
                <w:sz w:val="18"/>
              </w:rPr>
            </w:pPr>
            <w:r>
              <w:rPr>
                <w:rFonts w:ascii="宋体" w:hAnsi="宋体"/>
                <w:sz w:val="18"/>
              </w:rPr>
              <w:t>CA4DB1-11E6</w:t>
            </w:r>
          </w:p>
          <w:bookmarkEnd w:id="37"/>
          <w:p>
            <w:pPr>
              <w:jc w:val="left"/>
              <w:rPr>
                <w:rFonts w:ascii="宋体" w:hAnsi="宋体"/>
                <w:sz w:val="18"/>
              </w:rPr>
            </w:pPr>
          </w:p>
        </w:tc>
        <w:tc>
          <w:tcPr>
            <w:tcW w:w="2910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bookmarkStart w:id="38" w:name="dp_fdjqy"/>
            <w:r>
              <w:rPr>
                <w:rFonts w:ascii="宋体" w:hAnsi="宋体"/>
                <w:sz w:val="18"/>
              </w:rPr>
              <w:t>昆明云内动力股份有限公司</w:t>
            </w:r>
          </w:p>
          <w:p>
            <w:pPr>
              <w:jc w:val="left"/>
              <w:rPr>
                <w:rFonts w:ascii="宋体" w:hAnsi="宋体"/>
                <w:sz w:val="18"/>
              </w:rPr>
            </w:pPr>
            <w:r>
              <w:rPr>
                <w:rFonts w:ascii="宋体" w:hAnsi="宋体"/>
                <w:sz w:val="18"/>
              </w:rPr>
              <w:t>广西玉柴机器股份有限公司</w:t>
            </w:r>
          </w:p>
          <w:p>
            <w:pPr>
              <w:jc w:val="left"/>
              <w:rPr>
                <w:rFonts w:ascii="宋体" w:hAnsi="宋体"/>
                <w:sz w:val="18"/>
              </w:rPr>
            </w:pPr>
            <w:r>
              <w:rPr>
                <w:rFonts w:ascii="宋体" w:hAnsi="宋体"/>
                <w:sz w:val="18"/>
              </w:rPr>
              <w:t>中国第一汽车集团有限公司</w:t>
            </w:r>
          </w:p>
          <w:bookmarkEnd w:id="38"/>
          <w:p>
            <w:pPr>
              <w:jc w:val="left"/>
              <w:rPr>
                <w:rFonts w:ascii="宋体" w:hAnsi="宋体"/>
                <w:sz w:val="18"/>
              </w:rPr>
            </w:pPr>
          </w:p>
        </w:tc>
        <w:tc>
          <w:tcPr>
            <w:tcW w:w="2016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bookmarkStart w:id="39" w:name="dp_fdjpl"/>
            <w:r>
              <w:rPr>
                <w:rFonts w:ascii="宋体" w:hAnsi="宋体"/>
                <w:sz w:val="18"/>
              </w:rPr>
              <w:t>1999</w:t>
            </w:r>
          </w:p>
          <w:p>
            <w:pPr>
              <w:jc w:val="left"/>
              <w:rPr>
                <w:rFonts w:ascii="宋体" w:hAnsi="宋体"/>
                <w:sz w:val="18"/>
              </w:rPr>
            </w:pPr>
            <w:r>
              <w:rPr>
                <w:rFonts w:ascii="宋体" w:hAnsi="宋体"/>
                <w:sz w:val="18"/>
              </w:rPr>
              <w:t>2360</w:t>
            </w:r>
          </w:p>
          <w:p>
            <w:pPr>
              <w:jc w:val="left"/>
              <w:rPr>
                <w:rFonts w:ascii="宋体" w:hAnsi="宋体"/>
                <w:sz w:val="18"/>
              </w:rPr>
            </w:pPr>
            <w:r>
              <w:rPr>
                <w:rFonts w:ascii="宋体" w:hAnsi="宋体"/>
                <w:sz w:val="18"/>
              </w:rPr>
              <w:t>2207</w:t>
            </w:r>
          </w:p>
          <w:bookmarkEnd w:id="39"/>
          <w:p>
            <w:pPr>
              <w:jc w:val="left"/>
              <w:rPr>
                <w:rFonts w:ascii="宋体" w:hAnsi="宋体"/>
                <w:sz w:val="18"/>
              </w:rPr>
            </w:pPr>
          </w:p>
        </w:tc>
        <w:tc>
          <w:tcPr>
            <w:tcW w:w="2912" w:type="dxa"/>
            <w:shd w:val="clear" w:color="auto" w:fill="auto"/>
            <w:noWrap w:val="0"/>
            <w:vAlign w:val="top"/>
          </w:tcPr>
          <w:p>
            <w:pPr>
              <w:jc w:val="left"/>
              <w:rPr>
                <w:rFonts w:ascii="宋体" w:hAnsi="宋体"/>
                <w:sz w:val="18"/>
              </w:rPr>
            </w:pPr>
            <w:bookmarkStart w:id="40" w:name="dp_fdjgl"/>
            <w:r>
              <w:rPr>
                <w:rFonts w:ascii="宋体" w:hAnsi="宋体"/>
                <w:sz w:val="18"/>
              </w:rPr>
              <w:t>93</w:t>
            </w:r>
          </w:p>
          <w:p>
            <w:pPr>
              <w:jc w:val="left"/>
              <w:rPr>
                <w:rFonts w:ascii="宋体" w:hAnsi="宋体"/>
                <w:sz w:val="18"/>
              </w:rPr>
            </w:pPr>
            <w:r>
              <w:rPr>
                <w:rFonts w:ascii="宋体" w:hAnsi="宋体"/>
                <w:sz w:val="18"/>
              </w:rPr>
              <w:t>103</w:t>
            </w:r>
          </w:p>
          <w:p>
            <w:pPr>
              <w:jc w:val="left"/>
              <w:rPr>
                <w:rFonts w:ascii="宋体" w:hAnsi="宋体"/>
                <w:sz w:val="18"/>
              </w:rPr>
            </w:pPr>
            <w:r>
              <w:rPr>
                <w:rFonts w:ascii="宋体" w:hAnsi="宋体"/>
                <w:sz w:val="18"/>
              </w:rPr>
              <w:t>81</w:t>
            </w:r>
          </w:p>
          <w:bookmarkEnd w:id="40"/>
          <w:p>
            <w:pPr>
              <w:jc w:val="left"/>
              <w:rPr>
                <w:rFonts w:ascii="宋体" w:hAnsi="宋体"/>
                <w:sz w:val="18"/>
              </w:rPr>
            </w:pPr>
          </w:p>
        </w:tc>
      </w:tr>
    </w:tbl>
    <w:p>
      <w:pPr>
        <w:numPr>
          <w:ilvl w:val="0"/>
          <w:numId w:val="0"/>
        </w:numPr>
        <w:rPr>
          <w:rFonts w:hint="eastAsia"/>
          <w:b/>
          <w:sz w:val="28"/>
          <w:szCs w:val="28"/>
        </w:rPr>
      </w:pPr>
    </w:p>
    <w:p>
      <w:pPr>
        <w:rPr>
          <w:rFonts w:ascii="仿宋" w:hAnsi="仿宋" w:eastAsia="仿宋"/>
          <w:b/>
          <w:sz w:val="28"/>
          <w:szCs w:val="28"/>
        </w:rPr>
      </w:pPr>
      <w:r>
        <w:rPr>
          <w:rFonts w:hint="eastAsia" w:ascii="仿宋" w:hAnsi="仿宋" w:eastAsia="仿宋"/>
          <w:b/>
          <w:sz w:val="28"/>
          <w:szCs w:val="28"/>
        </w:rPr>
        <w:t>二.车辆分解图</w:t>
      </w:r>
    </w:p>
    <w:p>
      <w:r>
        <w:drawing>
          <wp:inline distT="0" distB="0" distL="0" distR="0">
            <wp:extent cx="6012815" cy="4029075"/>
            <wp:effectExtent l="19050" t="0" r="6876" b="0"/>
            <wp:docPr id="2" name="图片 1" descr="a40f4a7ee22a3e9a5c0cb8db730ea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 descr="a40f4a7ee22a3e9a5c0cb8db730ea58.jpg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015269" cy="40306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="仿宋" w:hAnsi="仿宋" w:eastAsia="仿宋"/>
          <w:b/>
          <w:bCs/>
          <w:sz w:val="28"/>
          <w:szCs w:val="28"/>
        </w:rPr>
      </w:pPr>
      <w:r>
        <w:rPr>
          <w:rFonts w:hint="eastAsia" w:ascii="仿宋" w:hAnsi="仿宋" w:eastAsia="仿宋"/>
          <w:b/>
          <w:sz w:val="28"/>
          <w:szCs w:val="28"/>
        </w:rPr>
        <w:t>三</w:t>
      </w:r>
      <w:r>
        <w:rPr>
          <w:rFonts w:hint="eastAsia" w:ascii="仿宋" w:hAnsi="仿宋" w:eastAsia="仿宋"/>
          <w:b/>
          <w:bCs/>
          <w:sz w:val="28"/>
          <w:szCs w:val="28"/>
        </w:rPr>
        <w:t xml:space="preserve">.主要结构形式简介 </w:t>
      </w:r>
    </w:p>
    <w:p>
      <w:pPr>
        <w:ind w:firstLine="720"/>
        <w:rPr>
          <w:sz w:val="28"/>
          <w:szCs w:val="28"/>
        </w:rPr>
      </w:pPr>
      <w:r>
        <w:rPr>
          <w:rFonts w:hint="eastAsia"/>
          <w:sz w:val="28"/>
          <w:szCs w:val="28"/>
        </w:rPr>
        <w:t>压缩垃圾车它主要由箱体.填充器.后进料机构.和液压系统等组成，并可独立吊装卸离。具有结构简单操作和维护方便灵活，安全可靠，机械化程度高等特点，因而使其具有较高的工作效率，同时可以防止误操作，避免事故的发生，并可节省人力，减轻工作人员的劳动强度。由于它的特殊结构型式和工作方式，使其在收集垃圾和运输过程中能有效的避免二次污染及噪音污染，对于保护环境极为有利，是一种新型垃圾收集和运输车。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A.</w:t>
      </w:r>
      <w:r>
        <w:rPr>
          <w:rFonts w:hint="eastAsia"/>
          <w:b/>
          <w:bCs/>
          <w:sz w:val="28"/>
          <w:szCs w:val="28"/>
        </w:rPr>
        <w:t>箱体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箱体采用高强度钢和弧形结构，强度高不易变形有效的提升了装载空间，内部有推板可用于压缩垃圾和卸载垃圾，顶部有吊环便于装卸及维修。 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B.</w:t>
      </w:r>
      <w:r>
        <w:rPr>
          <w:rFonts w:hint="eastAsia"/>
          <w:b/>
          <w:bCs/>
          <w:sz w:val="28"/>
          <w:szCs w:val="28"/>
        </w:rPr>
        <w:t>填充器</w:t>
      </w:r>
    </w:p>
    <w:p>
      <w:pPr>
        <w:ind w:firstLine="560" w:firstLineChars="200"/>
        <w:rPr>
          <w:sz w:val="28"/>
          <w:szCs w:val="28"/>
        </w:rPr>
      </w:pPr>
      <w:r>
        <w:rPr>
          <w:rFonts w:hint="eastAsia"/>
          <w:sz w:val="28"/>
          <w:szCs w:val="28"/>
        </w:rPr>
        <w:t>填充器采用高强度钢并使用方形钢加固，具有极高的强度，在装载垃圾和压缩垃圾时不易抖动变形，有效的保障了装载和压缩效率。它的内部有滑板和刮板，用于垃圾进箱和垃圾压缩。</w:t>
      </w:r>
    </w:p>
    <w:p>
      <w:pPr>
        <w:tabs>
          <w:tab w:val="left" w:pos="312"/>
        </w:tabs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C进料机构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进料机构采用20mm的优质钢并且形式多样化，有可挂120L 240L 660L塑料挂桶和铁挂桶的翻转机构，也有半密封三角形进料斗还有全密封的落地斗。可满足各种工作环境作业环境的需求，效率高安全环保。</w:t>
      </w:r>
    </w:p>
    <w:p>
      <w:pPr>
        <w:tabs>
          <w:tab w:val="left" w:pos="312"/>
        </w:tabs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液压系统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 液压系统的作用是实现垃圾收集压缩和卸载。填充器油缸安装了平衡阀并带液压锁，使其在举升过程中保持油缸举升速度同步更加平稳。而且举升完毕后保持静止状态不会下落，保障安全性。液压系统采用手动+电控多路换向阀，可在驾驶室和车侧操控系统工作。</w:t>
      </w:r>
    </w:p>
    <w:p>
      <w:pPr>
        <w:rPr>
          <w:sz w:val="28"/>
          <w:szCs w:val="28"/>
        </w:rPr>
      </w:pPr>
      <w:r>
        <w:rPr>
          <w:sz w:val="28"/>
          <w:szCs w:val="28"/>
        </w:rPr>
        <w:drawing>
          <wp:inline distT="0" distB="0" distL="114300" distR="114300">
            <wp:extent cx="5380990" cy="3228340"/>
            <wp:effectExtent l="0" t="0" r="13970" b="2540"/>
            <wp:docPr id="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80990" cy="3228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tabs>
          <w:tab w:val="left" w:pos="312"/>
        </w:tabs>
        <w:ind w:left="180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四. 压缩垃圾车系统性能参数与关键部件清单</w:t>
      </w:r>
    </w:p>
    <w:p>
      <w:pPr>
        <w:rPr>
          <w:bCs/>
          <w:sz w:val="28"/>
          <w:szCs w:val="28"/>
        </w:rPr>
      </w:pPr>
      <w:r>
        <w:rPr>
          <w:rFonts w:hint="eastAsia"/>
          <w:bCs/>
          <w:sz w:val="28"/>
          <w:szCs w:val="28"/>
        </w:rPr>
        <w:t>1. 压缩系统主要技术参数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20"/>
        <w:gridCol w:w="2461"/>
        <w:gridCol w:w="2810"/>
        <w:gridCol w:w="213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20" w:type="dxa"/>
          </w:tcPr>
          <w:p>
            <w:pPr>
              <w:rPr>
                <w:rFonts w:ascii="Calibri" w:hAnsi="Calibri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</w:rPr>
              <w:t>序号</w:t>
            </w:r>
          </w:p>
        </w:tc>
        <w:tc>
          <w:tcPr>
            <w:tcW w:w="2461" w:type="dxa"/>
          </w:tcPr>
          <w:p>
            <w:pPr>
              <w:ind w:firstLine="560" w:firstLineChars="200"/>
              <w:jc w:val="left"/>
              <w:rPr>
                <w:rFonts w:ascii="Calibri" w:hAnsi="Calibri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</w:rPr>
              <w:t>名 称</w:t>
            </w:r>
          </w:p>
        </w:tc>
        <w:tc>
          <w:tcPr>
            <w:tcW w:w="2810" w:type="dxa"/>
          </w:tcPr>
          <w:p>
            <w:pPr>
              <w:ind w:firstLine="560" w:firstLineChars="200"/>
              <w:jc w:val="left"/>
              <w:rPr>
                <w:rFonts w:ascii="Calibri" w:hAnsi="Calibri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</w:rPr>
              <w:t>参  数</w:t>
            </w:r>
          </w:p>
        </w:tc>
        <w:tc>
          <w:tcPr>
            <w:tcW w:w="2131" w:type="dxa"/>
          </w:tcPr>
          <w:p>
            <w:pPr>
              <w:ind w:firstLine="280" w:firstLineChars="100"/>
              <w:jc w:val="left"/>
              <w:rPr>
                <w:rFonts w:ascii="Calibri" w:hAnsi="Calibri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</w:rPr>
              <w:t>备  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20" w:type="dxa"/>
          </w:tcPr>
          <w:p>
            <w:pPr>
              <w:jc w:val="center"/>
              <w:rPr>
                <w:rFonts w:ascii="Calibri" w:hAnsi="Calibri" w:eastAsia="宋体" w:cs="Times New Roman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b/>
                <w:bCs/>
                <w:kern w:val="0"/>
                <w:sz w:val="28"/>
                <w:szCs w:val="28"/>
              </w:rPr>
              <w:t>1</w:t>
            </w:r>
          </w:p>
        </w:tc>
        <w:tc>
          <w:tcPr>
            <w:tcW w:w="2461" w:type="dxa"/>
          </w:tcPr>
          <w:p>
            <w:pPr>
              <w:rPr>
                <w:rFonts w:ascii="Calibri" w:hAnsi="Calibri" w:eastAsia="宋体" w:cs="Times New Roman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</w:rPr>
              <w:t>系统压力</w:t>
            </w:r>
          </w:p>
        </w:tc>
        <w:tc>
          <w:tcPr>
            <w:tcW w:w="2810" w:type="dxa"/>
          </w:tcPr>
          <w:p>
            <w:pPr>
              <w:rPr>
                <w:rFonts w:ascii="Calibri" w:hAnsi="Calibri" w:eastAsia="宋体" w:cs="Times New Roman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</w:rPr>
              <w:t xml:space="preserve">    16MPA</w:t>
            </w:r>
          </w:p>
        </w:tc>
        <w:tc>
          <w:tcPr>
            <w:tcW w:w="2131" w:type="dxa"/>
          </w:tcPr>
          <w:p>
            <w:pPr>
              <w:rPr>
                <w:rFonts w:ascii="Calibri" w:hAnsi="Calibri" w:eastAsia="宋体" w:cs="Times New Roman"/>
                <w:b/>
                <w:bCs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20" w:type="dxa"/>
          </w:tcPr>
          <w:p>
            <w:pPr>
              <w:jc w:val="center"/>
              <w:rPr>
                <w:rFonts w:ascii="Calibri" w:hAnsi="Calibri" w:eastAsia="宋体" w:cs="Times New Roman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b/>
                <w:bCs/>
                <w:kern w:val="0"/>
                <w:sz w:val="28"/>
                <w:szCs w:val="28"/>
              </w:rPr>
              <w:t>2</w:t>
            </w:r>
          </w:p>
        </w:tc>
        <w:tc>
          <w:tcPr>
            <w:tcW w:w="2461" w:type="dxa"/>
          </w:tcPr>
          <w:p>
            <w:pPr>
              <w:rPr>
                <w:rFonts w:ascii="Calibri" w:hAnsi="Calibri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</w:rPr>
              <w:t>填装时间</w:t>
            </w:r>
          </w:p>
        </w:tc>
        <w:tc>
          <w:tcPr>
            <w:tcW w:w="2810" w:type="dxa"/>
          </w:tcPr>
          <w:p>
            <w:pPr>
              <w:jc w:val="center"/>
              <w:rPr>
                <w:rFonts w:ascii="Calibri" w:hAnsi="Calibri" w:eastAsia="宋体" w:cs="Times New Roman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</w:rPr>
              <w:t>40S</w:t>
            </w:r>
          </w:p>
        </w:tc>
        <w:tc>
          <w:tcPr>
            <w:tcW w:w="2131" w:type="dxa"/>
          </w:tcPr>
          <w:p>
            <w:pPr>
              <w:rPr>
                <w:rFonts w:ascii="Calibri" w:hAnsi="Calibri" w:eastAsia="宋体" w:cs="Times New Roman"/>
                <w:b/>
                <w:bCs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20" w:type="dxa"/>
          </w:tcPr>
          <w:p>
            <w:pPr>
              <w:jc w:val="center"/>
              <w:rPr>
                <w:rFonts w:ascii="Calibri" w:hAnsi="Calibri" w:eastAsia="宋体" w:cs="Times New Roman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b/>
                <w:bCs/>
                <w:kern w:val="0"/>
                <w:sz w:val="28"/>
                <w:szCs w:val="28"/>
              </w:rPr>
              <w:t>3</w:t>
            </w:r>
          </w:p>
        </w:tc>
        <w:tc>
          <w:tcPr>
            <w:tcW w:w="2461" w:type="dxa"/>
          </w:tcPr>
          <w:p>
            <w:pPr>
              <w:rPr>
                <w:rFonts w:ascii="Calibri" w:hAnsi="Calibri" w:eastAsia="宋体" w:cs="Times New Roman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</w:rPr>
              <w:t>卸料时间</w:t>
            </w:r>
          </w:p>
        </w:tc>
        <w:tc>
          <w:tcPr>
            <w:tcW w:w="2810" w:type="dxa"/>
          </w:tcPr>
          <w:p>
            <w:pPr>
              <w:jc w:val="center"/>
              <w:rPr>
                <w:rFonts w:ascii="Calibri" w:hAnsi="Calibri" w:eastAsia="宋体" w:cs="Times New Roman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</w:rPr>
              <w:t>13s</w:t>
            </w:r>
          </w:p>
        </w:tc>
        <w:tc>
          <w:tcPr>
            <w:tcW w:w="2131" w:type="dxa"/>
          </w:tcPr>
          <w:p>
            <w:pPr>
              <w:rPr>
                <w:rFonts w:ascii="Calibri" w:hAnsi="Calibri" w:eastAsia="宋体" w:cs="Times New Roman"/>
                <w:b/>
                <w:bCs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20" w:type="dxa"/>
          </w:tcPr>
          <w:p>
            <w:pPr>
              <w:jc w:val="center"/>
              <w:rPr>
                <w:rFonts w:ascii="Calibri" w:hAnsi="Calibri" w:eastAsia="宋体" w:cs="Times New Roman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b/>
                <w:bCs/>
                <w:kern w:val="0"/>
                <w:sz w:val="28"/>
                <w:szCs w:val="28"/>
              </w:rPr>
              <w:t>4</w:t>
            </w:r>
          </w:p>
        </w:tc>
        <w:tc>
          <w:tcPr>
            <w:tcW w:w="2461" w:type="dxa"/>
          </w:tcPr>
          <w:p>
            <w:pPr>
              <w:rPr>
                <w:rFonts w:ascii="Calibri" w:hAnsi="Calibri" w:eastAsia="宋体" w:cs="Times New Roman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</w:rPr>
              <w:t>控制电压</w:t>
            </w:r>
          </w:p>
        </w:tc>
        <w:tc>
          <w:tcPr>
            <w:tcW w:w="2810" w:type="dxa"/>
          </w:tcPr>
          <w:p>
            <w:pPr>
              <w:jc w:val="center"/>
              <w:rPr>
                <w:rFonts w:ascii="Calibri" w:hAnsi="Calibri" w:eastAsia="宋体" w:cs="Times New Roman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</w:rPr>
              <w:t>24V</w:t>
            </w:r>
          </w:p>
        </w:tc>
        <w:tc>
          <w:tcPr>
            <w:tcW w:w="2131" w:type="dxa"/>
          </w:tcPr>
          <w:p>
            <w:pPr>
              <w:rPr>
                <w:rFonts w:ascii="Calibri" w:hAnsi="Calibri" w:eastAsia="宋体" w:cs="Times New Roman"/>
                <w:b/>
                <w:bCs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20" w:type="dxa"/>
          </w:tcPr>
          <w:p>
            <w:pPr>
              <w:jc w:val="center"/>
              <w:rPr>
                <w:rFonts w:ascii="Calibri" w:hAnsi="Calibri" w:eastAsia="宋体" w:cs="Times New Roman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b/>
                <w:bCs/>
                <w:kern w:val="0"/>
                <w:sz w:val="28"/>
                <w:szCs w:val="28"/>
              </w:rPr>
              <w:t>5</w:t>
            </w:r>
          </w:p>
        </w:tc>
        <w:tc>
          <w:tcPr>
            <w:tcW w:w="2461" w:type="dxa"/>
          </w:tcPr>
          <w:p>
            <w:pPr>
              <w:rPr>
                <w:rFonts w:ascii="Calibri" w:hAnsi="Calibri" w:eastAsia="宋体" w:cs="Times New Roman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</w:rPr>
              <w:t>压缩比列</w:t>
            </w:r>
          </w:p>
        </w:tc>
        <w:tc>
          <w:tcPr>
            <w:tcW w:w="2810" w:type="dxa"/>
          </w:tcPr>
          <w:p>
            <w:pPr>
              <w:jc w:val="center"/>
              <w:rPr>
                <w:rFonts w:ascii="Calibri" w:hAnsi="Calibri" w:eastAsia="宋体" w:cs="Times New Roman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</w:rPr>
              <w:t>1:0.63</w:t>
            </w:r>
          </w:p>
        </w:tc>
        <w:tc>
          <w:tcPr>
            <w:tcW w:w="2131" w:type="dxa"/>
          </w:tcPr>
          <w:p>
            <w:pPr>
              <w:rPr>
                <w:rFonts w:ascii="Calibri" w:hAnsi="Calibri" w:eastAsia="宋体" w:cs="Times New Roman"/>
                <w:b/>
                <w:bCs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20" w:type="dxa"/>
          </w:tcPr>
          <w:p>
            <w:pPr>
              <w:jc w:val="center"/>
              <w:rPr>
                <w:rFonts w:ascii="Calibri" w:hAnsi="Calibri" w:eastAsia="宋体" w:cs="Times New Roman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b/>
                <w:bCs/>
                <w:kern w:val="0"/>
                <w:sz w:val="28"/>
                <w:szCs w:val="28"/>
              </w:rPr>
              <w:t>6</w:t>
            </w:r>
          </w:p>
        </w:tc>
        <w:tc>
          <w:tcPr>
            <w:tcW w:w="2461" w:type="dxa"/>
          </w:tcPr>
          <w:p>
            <w:pPr>
              <w:rPr>
                <w:rFonts w:ascii="Calibri" w:hAnsi="Calibri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</w:rPr>
              <w:t>油泵排量</w:t>
            </w:r>
          </w:p>
        </w:tc>
        <w:tc>
          <w:tcPr>
            <w:tcW w:w="2810" w:type="dxa"/>
          </w:tcPr>
          <w:p>
            <w:pPr>
              <w:jc w:val="center"/>
              <w:rPr>
                <w:rFonts w:ascii="Calibri" w:hAnsi="Calibri" w:eastAsia="宋体" w:cs="Times New Roman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</w:rPr>
              <w:t>63ml/r</w:t>
            </w:r>
          </w:p>
        </w:tc>
        <w:tc>
          <w:tcPr>
            <w:tcW w:w="2131" w:type="dxa"/>
          </w:tcPr>
          <w:p>
            <w:pPr>
              <w:rPr>
                <w:rFonts w:ascii="Calibri" w:hAnsi="Calibri" w:eastAsia="宋体" w:cs="Times New Roman"/>
                <w:b/>
                <w:bCs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20" w:type="dxa"/>
          </w:tcPr>
          <w:p>
            <w:pPr>
              <w:jc w:val="center"/>
              <w:rPr>
                <w:rFonts w:ascii="Calibri" w:hAnsi="Calibri" w:eastAsia="宋体" w:cs="Times New Roman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b/>
                <w:bCs/>
                <w:kern w:val="0"/>
                <w:sz w:val="28"/>
                <w:szCs w:val="28"/>
              </w:rPr>
              <w:t>7</w:t>
            </w:r>
          </w:p>
        </w:tc>
        <w:tc>
          <w:tcPr>
            <w:tcW w:w="2461" w:type="dxa"/>
          </w:tcPr>
          <w:p>
            <w:pPr>
              <w:rPr>
                <w:rFonts w:ascii="Calibri" w:hAnsi="Calibri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</w:rPr>
              <w:t>液压油箱容积</w:t>
            </w:r>
          </w:p>
        </w:tc>
        <w:tc>
          <w:tcPr>
            <w:tcW w:w="2810" w:type="dxa"/>
          </w:tcPr>
          <w:p>
            <w:pPr>
              <w:jc w:val="center"/>
              <w:rPr>
                <w:rFonts w:ascii="Calibri" w:hAnsi="Calibri" w:eastAsia="宋体" w:cs="Times New Roman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</w:rPr>
              <w:t>80L</w:t>
            </w:r>
          </w:p>
        </w:tc>
        <w:tc>
          <w:tcPr>
            <w:tcW w:w="2131" w:type="dxa"/>
          </w:tcPr>
          <w:p>
            <w:pPr>
              <w:rPr>
                <w:rFonts w:ascii="Calibri" w:hAnsi="Calibri" w:eastAsia="宋体" w:cs="Times New Roman"/>
                <w:b/>
                <w:bCs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20" w:type="dxa"/>
          </w:tcPr>
          <w:p>
            <w:pPr>
              <w:jc w:val="center"/>
              <w:rPr>
                <w:rFonts w:ascii="Calibri" w:hAnsi="Calibri" w:eastAsia="宋体" w:cs="Times New Roman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b/>
                <w:bCs/>
                <w:kern w:val="0"/>
                <w:sz w:val="28"/>
                <w:szCs w:val="28"/>
              </w:rPr>
              <w:t>8</w:t>
            </w:r>
          </w:p>
        </w:tc>
        <w:tc>
          <w:tcPr>
            <w:tcW w:w="2461" w:type="dxa"/>
          </w:tcPr>
          <w:p>
            <w:pPr>
              <w:rPr>
                <w:rFonts w:ascii="Calibri" w:hAnsi="Calibri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</w:rPr>
              <w:t>箱体容积</w:t>
            </w:r>
          </w:p>
        </w:tc>
        <w:tc>
          <w:tcPr>
            <w:tcW w:w="2810" w:type="dxa"/>
          </w:tcPr>
          <w:p>
            <w:pPr>
              <w:jc w:val="center"/>
              <w:rPr>
                <w:rFonts w:ascii="Calibri" w:hAnsi="Calibri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  <w:lang w:val="en-US" w:eastAsia="zh-CN"/>
              </w:rPr>
              <w:t>6</w:t>
            </w: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</w:rPr>
              <w:t>000L</w:t>
            </w:r>
          </w:p>
        </w:tc>
        <w:tc>
          <w:tcPr>
            <w:tcW w:w="2131" w:type="dxa"/>
          </w:tcPr>
          <w:p>
            <w:pPr>
              <w:rPr>
                <w:rFonts w:ascii="Calibri" w:hAnsi="Calibri" w:eastAsia="宋体" w:cs="Times New Roman"/>
                <w:b/>
                <w:bCs/>
                <w:kern w:val="0"/>
                <w:sz w:val="28"/>
                <w:szCs w:val="28"/>
              </w:rPr>
            </w:pPr>
          </w:p>
        </w:tc>
      </w:tr>
    </w:tbl>
    <w:p>
      <w:pPr>
        <w:rPr>
          <w:sz w:val="28"/>
          <w:szCs w:val="28"/>
        </w:rPr>
      </w:pPr>
      <w:r>
        <w:rPr>
          <w:rFonts w:hint="eastAsia"/>
          <w:bCs/>
          <w:sz w:val="28"/>
          <w:szCs w:val="28"/>
        </w:rPr>
        <w:t>2.关键液压元件及主要部件清单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91"/>
        <w:gridCol w:w="2217"/>
        <w:gridCol w:w="1837"/>
        <w:gridCol w:w="1572"/>
        <w:gridCol w:w="17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91" w:type="dxa"/>
          </w:tcPr>
          <w:p>
            <w:pPr>
              <w:jc w:val="center"/>
              <w:rPr>
                <w:rFonts w:ascii="Calibri" w:hAnsi="Calibri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</w:rPr>
              <w:t>序号</w:t>
            </w:r>
          </w:p>
        </w:tc>
        <w:tc>
          <w:tcPr>
            <w:tcW w:w="2217" w:type="dxa"/>
          </w:tcPr>
          <w:p>
            <w:pPr>
              <w:jc w:val="center"/>
              <w:rPr>
                <w:rFonts w:ascii="Calibri" w:hAnsi="Calibri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</w:rPr>
              <w:t>名称</w:t>
            </w:r>
          </w:p>
        </w:tc>
        <w:tc>
          <w:tcPr>
            <w:tcW w:w="1837" w:type="dxa"/>
          </w:tcPr>
          <w:p>
            <w:pPr>
              <w:jc w:val="center"/>
              <w:rPr>
                <w:rFonts w:ascii="Calibri" w:hAnsi="Calibri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</w:rPr>
              <w:t>型号</w:t>
            </w:r>
          </w:p>
        </w:tc>
        <w:tc>
          <w:tcPr>
            <w:tcW w:w="1572" w:type="dxa"/>
          </w:tcPr>
          <w:p>
            <w:pPr>
              <w:jc w:val="center"/>
              <w:rPr>
                <w:rFonts w:ascii="Calibri" w:hAnsi="Calibri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</w:rPr>
              <w:t>厂家</w:t>
            </w:r>
          </w:p>
        </w:tc>
        <w:tc>
          <w:tcPr>
            <w:tcW w:w="1705" w:type="dxa"/>
          </w:tcPr>
          <w:p>
            <w:pPr>
              <w:jc w:val="center"/>
              <w:rPr>
                <w:rFonts w:ascii="Calibri" w:hAnsi="Calibri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91" w:type="dxa"/>
          </w:tcPr>
          <w:p>
            <w:pPr>
              <w:jc w:val="center"/>
              <w:rPr>
                <w:rFonts w:ascii="Calibri" w:hAnsi="Calibri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</w:rPr>
              <w:t>1</w:t>
            </w:r>
          </w:p>
        </w:tc>
        <w:tc>
          <w:tcPr>
            <w:tcW w:w="2217" w:type="dxa"/>
          </w:tcPr>
          <w:p>
            <w:pPr>
              <w:rPr>
                <w:rFonts w:ascii="Calibri" w:hAnsi="Calibri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</w:rPr>
              <w:t>液压泵</w:t>
            </w:r>
          </w:p>
        </w:tc>
        <w:tc>
          <w:tcPr>
            <w:tcW w:w="1837" w:type="dxa"/>
          </w:tcPr>
          <w:p>
            <w:pPr>
              <w:rPr>
                <w:rFonts w:ascii="Calibri" w:hAnsi="Calibri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</w:rPr>
              <w:t>50齿轮泵</w:t>
            </w:r>
          </w:p>
        </w:tc>
        <w:tc>
          <w:tcPr>
            <w:tcW w:w="1572" w:type="dxa"/>
          </w:tcPr>
          <w:p>
            <w:pPr>
              <w:rPr>
                <w:rFonts w:ascii="Calibri" w:hAnsi="Calibri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</w:rPr>
              <w:t>合肥皖液</w:t>
            </w:r>
          </w:p>
        </w:tc>
        <w:tc>
          <w:tcPr>
            <w:tcW w:w="1705" w:type="dxa"/>
          </w:tcPr>
          <w:p>
            <w:pPr>
              <w:rPr>
                <w:rFonts w:ascii="Calibri" w:hAnsi="Calibri" w:eastAsia="宋体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91" w:type="dxa"/>
          </w:tcPr>
          <w:p>
            <w:pPr>
              <w:jc w:val="center"/>
              <w:rPr>
                <w:rFonts w:ascii="Calibri" w:hAnsi="Calibri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</w:rPr>
              <w:t>2</w:t>
            </w:r>
          </w:p>
        </w:tc>
        <w:tc>
          <w:tcPr>
            <w:tcW w:w="2217" w:type="dxa"/>
          </w:tcPr>
          <w:p>
            <w:pPr>
              <w:rPr>
                <w:rFonts w:ascii="Calibri" w:hAnsi="Calibri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</w:rPr>
              <w:t>多路换向阀</w:t>
            </w:r>
          </w:p>
        </w:tc>
        <w:tc>
          <w:tcPr>
            <w:tcW w:w="1837" w:type="dxa"/>
          </w:tcPr>
          <w:p>
            <w:pPr>
              <w:rPr>
                <w:rFonts w:ascii="Calibri" w:hAnsi="Calibri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</w:rPr>
              <w:t>60M5联</w:t>
            </w:r>
          </w:p>
        </w:tc>
        <w:tc>
          <w:tcPr>
            <w:tcW w:w="1572" w:type="dxa"/>
          </w:tcPr>
          <w:p>
            <w:pPr>
              <w:rPr>
                <w:rFonts w:ascii="Calibri" w:hAnsi="Calibri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</w:rPr>
              <w:t>扬州中梅</w:t>
            </w:r>
          </w:p>
        </w:tc>
        <w:tc>
          <w:tcPr>
            <w:tcW w:w="1705" w:type="dxa"/>
          </w:tcPr>
          <w:p>
            <w:pPr>
              <w:rPr>
                <w:rFonts w:ascii="Calibri" w:hAnsi="Calibri" w:eastAsia="宋体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91" w:type="dxa"/>
          </w:tcPr>
          <w:p>
            <w:pPr>
              <w:jc w:val="center"/>
              <w:rPr>
                <w:rFonts w:ascii="Calibri" w:hAnsi="Calibri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</w:rPr>
              <w:t>3</w:t>
            </w:r>
          </w:p>
        </w:tc>
        <w:tc>
          <w:tcPr>
            <w:tcW w:w="2217" w:type="dxa"/>
          </w:tcPr>
          <w:p>
            <w:pPr>
              <w:rPr>
                <w:rFonts w:ascii="Calibri" w:hAnsi="Calibri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</w:rPr>
              <w:t>取力器</w:t>
            </w:r>
          </w:p>
        </w:tc>
        <w:tc>
          <w:tcPr>
            <w:tcW w:w="1837" w:type="dxa"/>
          </w:tcPr>
          <w:p>
            <w:pPr>
              <w:rPr>
                <w:rFonts w:ascii="Calibri" w:hAnsi="Calibri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</w:rPr>
              <w:t>5S100</w:t>
            </w:r>
          </w:p>
        </w:tc>
        <w:tc>
          <w:tcPr>
            <w:tcW w:w="1572" w:type="dxa"/>
          </w:tcPr>
          <w:p>
            <w:pPr>
              <w:rPr>
                <w:rFonts w:ascii="Calibri" w:hAnsi="Calibri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</w:rPr>
              <w:t>随州丰源</w:t>
            </w:r>
          </w:p>
        </w:tc>
        <w:tc>
          <w:tcPr>
            <w:tcW w:w="1705" w:type="dxa"/>
          </w:tcPr>
          <w:p>
            <w:pPr>
              <w:rPr>
                <w:rFonts w:ascii="Calibri" w:hAnsi="Calibri" w:eastAsia="宋体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91" w:type="dxa"/>
          </w:tcPr>
          <w:p>
            <w:pPr>
              <w:jc w:val="center"/>
              <w:rPr>
                <w:rFonts w:ascii="Calibri" w:hAnsi="Calibri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</w:rPr>
              <w:t>4</w:t>
            </w:r>
          </w:p>
        </w:tc>
        <w:tc>
          <w:tcPr>
            <w:tcW w:w="2217" w:type="dxa"/>
          </w:tcPr>
          <w:p>
            <w:pPr>
              <w:rPr>
                <w:rFonts w:ascii="Calibri" w:hAnsi="Calibri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</w:rPr>
              <w:t>液压油缸</w:t>
            </w:r>
          </w:p>
        </w:tc>
        <w:tc>
          <w:tcPr>
            <w:tcW w:w="1837" w:type="dxa"/>
          </w:tcPr>
          <w:p>
            <w:pPr>
              <w:rPr>
                <w:rFonts w:ascii="Calibri" w:hAnsi="Calibri" w:eastAsia="宋体" w:cs="Times New Roman"/>
                <w:kern w:val="0"/>
                <w:sz w:val="28"/>
                <w:szCs w:val="28"/>
              </w:rPr>
            </w:pPr>
          </w:p>
        </w:tc>
        <w:tc>
          <w:tcPr>
            <w:tcW w:w="1572" w:type="dxa"/>
          </w:tcPr>
          <w:p>
            <w:pPr>
              <w:rPr>
                <w:rFonts w:ascii="Calibri" w:hAnsi="Calibri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</w:rPr>
              <w:t>星光</w:t>
            </w:r>
          </w:p>
        </w:tc>
        <w:tc>
          <w:tcPr>
            <w:tcW w:w="1705" w:type="dxa"/>
          </w:tcPr>
          <w:p>
            <w:pPr>
              <w:rPr>
                <w:rFonts w:ascii="Calibri" w:hAnsi="Calibri" w:eastAsia="宋体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91" w:type="dxa"/>
          </w:tcPr>
          <w:p>
            <w:pPr>
              <w:jc w:val="center"/>
              <w:rPr>
                <w:rFonts w:ascii="Calibri" w:hAnsi="Calibri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</w:rPr>
              <w:t>5</w:t>
            </w:r>
          </w:p>
        </w:tc>
        <w:tc>
          <w:tcPr>
            <w:tcW w:w="2217" w:type="dxa"/>
          </w:tcPr>
          <w:p>
            <w:pPr>
              <w:rPr>
                <w:rFonts w:ascii="Calibri" w:hAnsi="Calibri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</w:rPr>
              <w:t>电控系统</w:t>
            </w:r>
          </w:p>
        </w:tc>
        <w:tc>
          <w:tcPr>
            <w:tcW w:w="1837" w:type="dxa"/>
          </w:tcPr>
          <w:p>
            <w:pPr>
              <w:rPr>
                <w:rFonts w:ascii="Calibri" w:hAnsi="Calibri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</w:rPr>
              <w:t>西门子</w:t>
            </w:r>
          </w:p>
        </w:tc>
        <w:tc>
          <w:tcPr>
            <w:tcW w:w="1572" w:type="dxa"/>
          </w:tcPr>
          <w:p>
            <w:pPr>
              <w:rPr>
                <w:rFonts w:ascii="Calibri" w:hAnsi="Calibri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</w:rPr>
              <w:t>德国进口</w:t>
            </w:r>
          </w:p>
        </w:tc>
        <w:tc>
          <w:tcPr>
            <w:tcW w:w="1705" w:type="dxa"/>
          </w:tcPr>
          <w:p>
            <w:pPr>
              <w:rPr>
                <w:rFonts w:ascii="Calibri" w:hAnsi="Calibri" w:eastAsia="宋体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91" w:type="dxa"/>
          </w:tcPr>
          <w:p>
            <w:pPr>
              <w:jc w:val="center"/>
              <w:rPr>
                <w:rFonts w:ascii="Calibri" w:hAnsi="Calibri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</w:rPr>
              <w:t>6</w:t>
            </w:r>
          </w:p>
        </w:tc>
        <w:tc>
          <w:tcPr>
            <w:tcW w:w="2217" w:type="dxa"/>
          </w:tcPr>
          <w:p>
            <w:pPr>
              <w:rPr>
                <w:rFonts w:ascii="Calibri" w:hAnsi="Calibri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</w:rPr>
              <w:t>回油滤油器</w:t>
            </w:r>
          </w:p>
        </w:tc>
        <w:tc>
          <w:tcPr>
            <w:tcW w:w="1837" w:type="dxa"/>
          </w:tcPr>
          <w:p>
            <w:pPr>
              <w:rPr>
                <w:rFonts w:ascii="Calibri" w:hAnsi="Calibri" w:eastAsia="宋体" w:cs="Times New Roman"/>
                <w:kern w:val="0"/>
                <w:sz w:val="28"/>
                <w:szCs w:val="28"/>
              </w:rPr>
            </w:pPr>
          </w:p>
        </w:tc>
        <w:tc>
          <w:tcPr>
            <w:tcW w:w="1572" w:type="dxa"/>
          </w:tcPr>
          <w:p>
            <w:pPr>
              <w:rPr>
                <w:rFonts w:ascii="Calibri" w:hAnsi="Calibri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</w:rPr>
              <w:t>科森特</w:t>
            </w:r>
          </w:p>
        </w:tc>
        <w:tc>
          <w:tcPr>
            <w:tcW w:w="1705" w:type="dxa"/>
          </w:tcPr>
          <w:p>
            <w:pPr>
              <w:rPr>
                <w:rFonts w:ascii="Calibri" w:hAnsi="Calibri" w:eastAsia="宋体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91" w:type="dxa"/>
          </w:tcPr>
          <w:p>
            <w:pPr>
              <w:jc w:val="center"/>
              <w:rPr>
                <w:rFonts w:ascii="Calibri" w:hAnsi="Calibri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</w:rPr>
              <w:t>7</w:t>
            </w:r>
          </w:p>
        </w:tc>
        <w:tc>
          <w:tcPr>
            <w:tcW w:w="2217" w:type="dxa"/>
          </w:tcPr>
          <w:p>
            <w:pPr>
              <w:rPr>
                <w:rFonts w:ascii="Calibri" w:hAnsi="Calibri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</w:rPr>
              <w:t>平衡阀</w:t>
            </w:r>
          </w:p>
        </w:tc>
        <w:tc>
          <w:tcPr>
            <w:tcW w:w="1837" w:type="dxa"/>
          </w:tcPr>
          <w:p>
            <w:pPr>
              <w:rPr>
                <w:rFonts w:ascii="Calibri" w:hAnsi="Calibri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</w:rPr>
              <w:t>2156B</w:t>
            </w:r>
          </w:p>
        </w:tc>
        <w:tc>
          <w:tcPr>
            <w:tcW w:w="1572" w:type="dxa"/>
          </w:tcPr>
          <w:p>
            <w:pPr>
              <w:rPr>
                <w:rFonts w:ascii="Calibri" w:hAnsi="Calibri" w:eastAsia="宋体" w:cs="Times New Roman"/>
                <w:kern w:val="0"/>
                <w:sz w:val="28"/>
                <w:szCs w:val="28"/>
              </w:rPr>
            </w:pPr>
            <w:r>
              <w:rPr>
                <w:rFonts w:hint="eastAsia" w:ascii="Calibri" w:hAnsi="Calibri" w:eastAsia="宋体" w:cs="Times New Roman"/>
                <w:kern w:val="0"/>
                <w:sz w:val="28"/>
                <w:szCs w:val="28"/>
              </w:rPr>
              <w:t>扬州中梅</w:t>
            </w:r>
          </w:p>
        </w:tc>
        <w:tc>
          <w:tcPr>
            <w:tcW w:w="1705" w:type="dxa"/>
          </w:tcPr>
          <w:p>
            <w:pPr>
              <w:rPr>
                <w:rFonts w:ascii="Calibri" w:hAnsi="Calibri" w:eastAsia="宋体" w:cs="Times New Roman"/>
                <w:kern w:val="0"/>
                <w:sz w:val="28"/>
                <w:szCs w:val="28"/>
              </w:rPr>
            </w:pPr>
          </w:p>
        </w:tc>
      </w:tr>
    </w:tbl>
    <w:p>
      <w:pPr>
        <w:rPr>
          <w:sz w:val="28"/>
          <w:szCs w:val="28"/>
        </w:rPr>
      </w:pPr>
    </w:p>
    <w:p>
      <w:pPr>
        <w:rPr>
          <w:sz w:val="28"/>
          <w:szCs w:val="28"/>
        </w:rPr>
      </w:pPr>
    </w:p>
    <w:p>
      <w:pPr>
        <w:numPr>
          <w:ilvl w:val="0"/>
          <w:numId w:val="2"/>
        </w:numPr>
        <w:rPr>
          <w:rFonts w:hint="eastAsia"/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车辆各方位照片</w:t>
      </w:r>
    </w:p>
    <w:p>
      <w:pPr>
        <w:numPr>
          <w:ilvl w:val="0"/>
          <w:numId w:val="0"/>
        </w:numPr>
        <w:rPr>
          <w:rFonts w:hint="eastAsia" w:ascii="楷体_GB2312" w:hAnsi="楷体_GB2312" w:eastAsia="楷体" w:cs="楷体"/>
          <w:b/>
          <w:color w:val="C00000"/>
          <w:kern w:val="1"/>
          <w:sz w:val="36"/>
          <w:szCs w:val="36"/>
          <w:lang w:eastAsia="zh-CN"/>
        </w:rPr>
      </w:pPr>
      <w:r>
        <w:rPr>
          <w:rFonts w:hint="eastAsia" w:ascii="楷体_GB2312" w:hAnsi="楷体_GB2312" w:eastAsia="楷体" w:cs="楷体"/>
          <w:b/>
          <w:color w:val="C00000"/>
          <w:kern w:val="1"/>
          <w:sz w:val="36"/>
          <w:szCs w:val="36"/>
          <w:lang w:eastAsia="zh-CN"/>
        </w:rPr>
        <w:drawing>
          <wp:inline distT="0" distB="0" distL="114300" distR="114300">
            <wp:extent cx="5683885" cy="4262755"/>
            <wp:effectExtent l="0" t="0" r="635" b="4445"/>
            <wp:docPr id="12" name="图片 6" descr="2019_09_10_10_02_IMG_7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6" descr="2019_09_10_10_02_IMG_700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683885" cy="4262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rPr>
          <w:rFonts w:hint="eastAsia" w:ascii="楷体_GB2312" w:hAnsi="楷体_GB2312" w:eastAsia="楷体" w:cs="楷体"/>
          <w:b/>
          <w:color w:val="C00000"/>
          <w:kern w:val="1"/>
          <w:sz w:val="36"/>
          <w:szCs w:val="36"/>
          <w:lang w:eastAsia="zh-CN"/>
        </w:rPr>
      </w:pPr>
      <w:r>
        <w:rPr>
          <w:rFonts w:hint="eastAsia" w:ascii="楷体_GB2312" w:hAnsi="楷体_GB2312" w:eastAsia="楷体" w:cs="楷体"/>
          <w:b/>
          <w:color w:val="C00000"/>
          <w:kern w:val="1"/>
          <w:sz w:val="36"/>
          <w:szCs w:val="36"/>
          <w:lang w:eastAsia="zh-CN"/>
        </w:rPr>
        <w:drawing>
          <wp:inline distT="0" distB="0" distL="114300" distR="114300">
            <wp:extent cx="5683885" cy="4262755"/>
            <wp:effectExtent l="0" t="0" r="635" b="4445"/>
            <wp:docPr id="13" name="图片 7" descr="2019_09_10_10_02_IMG_7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7" descr="2019_09_10_10_02_IMG_700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683885" cy="4262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rPr>
          <w:rFonts w:hint="eastAsia" w:ascii="楷体_GB2312" w:hAnsi="楷体_GB2312" w:eastAsia="楷体" w:cs="楷体"/>
          <w:b/>
          <w:color w:val="C00000"/>
          <w:kern w:val="1"/>
          <w:sz w:val="36"/>
          <w:szCs w:val="36"/>
          <w:lang w:eastAsia="zh-CN"/>
        </w:rPr>
      </w:pPr>
      <w:r>
        <w:rPr>
          <w:rFonts w:hint="eastAsia" w:ascii="楷体_GB2312" w:hAnsi="楷体_GB2312" w:eastAsia="楷体" w:cs="楷体"/>
          <w:b/>
          <w:color w:val="C00000"/>
          <w:kern w:val="1"/>
          <w:sz w:val="36"/>
          <w:szCs w:val="36"/>
          <w:lang w:eastAsia="zh-CN"/>
        </w:rPr>
        <w:drawing>
          <wp:inline distT="0" distB="0" distL="114300" distR="114300">
            <wp:extent cx="5683885" cy="4262755"/>
            <wp:effectExtent l="0" t="0" r="635" b="4445"/>
            <wp:docPr id="14" name="图片 8" descr="2019_09_10_10_02_IMG_7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8" descr="2019_09_10_10_02_IMG_7004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683885" cy="4262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rPr>
          <w:rFonts w:hint="eastAsia"/>
          <w:b/>
          <w:sz w:val="28"/>
          <w:szCs w:val="28"/>
        </w:rPr>
      </w:pPr>
    </w:p>
    <w:p>
      <w:pPr>
        <w:numPr>
          <w:ilvl w:val="0"/>
          <w:numId w:val="0"/>
        </w:numPr>
        <w:rPr>
          <w:rFonts w:hint="eastAsia" w:ascii="楷体_GB2312" w:hAnsi="楷体_GB2312" w:eastAsia="楷体" w:cs="楷体"/>
          <w:b/>
          <w:color w:val="C00000"/>
          <w:kern w:val="1"/>
          <w:sz w:val="36"/>
          <w:szCs w:val="36"/>
          <w:lang w:eastAsia="zh-CN"/>
        </w:rPr>
      </w:pPr>
    </w:p>
    <w:p>
      <w:pPr>
        <w:numPr>
          <w:ilvl w:val="0"/>
          <w:numId w:val="0"/>
        </w:numPr>
        <w:rPr>
          <w:rFonts w:hint="eastAsia" w:ascii="楷体_GB2312" w:hAnsi="楷体_GB2312" w:eastAsia="楷体" w:cs="楷体"/>
          <w:b/>
          <w:color w:val="C00000"/>
          <w:kern w:val="1"/>
          <w:sz w:val="36"/>
          <w:szCs w:val="36"/>
          <w:lang w:eastAsia="zh-CN"/>
        </w:rPr>
      </w:pPr>
    </w:p>
    <w:p>
      <w:pPr>
        <w:numPr>
          <w:ilvl w:val="0"/>
          <w:numId w:val="0"/>
        </w:numPr>
        <w:rPr>
          <w:rFonts w:hint="eastAsia" w:ascii="楷体_GB2312" w:hAnsi="楷体_GB2312" w:eastAsia="楷体" w:cs="楷体"/>
          <w:b/>
          <w:color w:val="C00000"/>
          <w:kern w:val="1"/>
          <w:sz w:val="36"/>
          <w:szCs w:val="36"/>
          <w:lang w:eastAsia="zh-CN"/>
        </w:rPr>
      </w:pPr>
      <w:r>
        <w:rPr>
          <w:rFonts w:hint="eastAsia" w:ascii="楷体_GB2312" w:hAnsi="楷体_GB2312" w:eastAsia="楷体" w:cs="楷体"/>
          <w:b/>
          <w:color w:val="C00000"/>
          <w:kern w:val="1"/>
          <w:sz w:val="36"/>
          <w:szCs w:val="36"/>
          <w:lang w:eastAsia="zh-CN"/>
        </w:rPr>
        <w:drawing>
          <wp:inline distT="0" distB="0" distL="114300" distR="114300">
            <wp:extent cx="5683885" cy="4262755"/>
            <wp:effectExtent l="0" t="0" r="635" b="4445"/>
            <wp:docPr id="10" name="图片 4" descr="IMG_19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4" descr="IMG_196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683885" cy="4262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rPr>
          <w:sz w:val="28"/>
          <w:szCs w:val="28"/>
        </w:rPr>
      </w:pPr>
    </w:p>
    <w:p>
      <w:pPr>
        <w:rPr>
          <w:sz w:val="28"/>
          <w:szCs w:val="28"/>
        </w:rPr>
      </w:pPr>
    </w:p>
    <w:p>
      <w:pPr>
        <w:rPr>
          <w:sz w:val="28"/>
          <w:szCs w:val="28"/>
        </w:rPr>
      </w:pPr>
    </w:p>
    <w:p>
      <w:pPr>
        <w:rPr>
          <w:sz w:val="28"/>
          <w:szCs w:val="28"/>
        </w:rPr>
      </w:pPr>
    </w:p>
    <w:p>
      <w:pPr>
        <w:rPr>
          <w:rFonts w:hint="eastAsia"/>
          <w:sz w:val="28"/>
          <w:szCs w:val="28"/>
        </w:rPr>
      </w:pPr>
    </w:p>
    <w:p>
      <w:pPr>
        <w:rPr>
          <w:rFonts w:hint="eastAsia"/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六.主要优点</w:t>
      </w:r>
    </w:p>
    <w:p>
      <w:pPr>
        <w:jc w:val="left"/>
        <w:rPr>
          <w:rFonts w:hint="eastAsia" w:ascii="仿宋" w:hAnsi="仿宋" w:eastAsia="仿宋" w:cs="华文楷体"/>
          <w:b/>
          <w:bCs/>
          <w:kern w:val="1"/>
          <w:sz w:val="28"/>
          <w:szCs w:val="28"/>
        </w:rPr>
      </w:pPr>
      <w:r>
        <w:rPr>
          <w:rFonts w:hint="eastAsia" w:ascii="仿宋" w:hAnsi="仿宋" w:eastAsia="仿宋" w:cs="华文楷体"/>
          <w:b/>
          <w:bCs/>
          <w:kern w:val="1"/>
          <w:sz w:val="28"/>
          <w:szCs w:val="28"/>
        </w:rPr>
        <w:t>1.收集方式简便：一改城市满街摆放垃圾筒的脏乱旧貌， 杜绝二次污染。</w:t>
      </w:r>
    </w:p>
    <w:p>
      <w:pPr>
        <w:jc w:val="left"/>
        <w:rPr>
          <w:rFonts w:hint="eastAsia" w:ascii="仿宋" w:hAnsi="仿宋" w:eastAsia="仿宋" w:cs="华文楷体"/>
          <w:b/>
          <w:bCs/>
          <w:kern w:val="1"/>
          <w:sz w:val="28"/>
          <w:szCs w:val="28"/>
        </w:rPr>
      </w:pPr>
      <w:r>
        <w:rPr>
          <w:rFonts w:hint="eastAsia" w:ascii="仿宋" w:hAnsi="仿宋" w:eastAsia="仿宋" w:cs="华文楷体"/>
          <w:b/>
          <w:bCs/>
          <w:kern w:val="1"/>
          <w:sz w:val="28"/>
          <w:szCs w:val="28"/>
        </w:rPr>
        <w:t>2.压缩比高、装载量大：最大破碎压力达12吨，装载量等于同吨级非压缩垃圾的两倍半。</w:t>
      </w:r>
    </w:p>
    <w:p>
      <w:pPr>
        <w:jc w:val="left"/>
        <w:rPr>
          <w:rFonts w:hint="eastAsia" w:ascii="仿宋" w:hAnsi="仿宋" w:eastAsia="仿宋" w:cs="华文楷体"/>
          <w:b/>
          <w:bCs/>
          <w:kern w:val="1"/>
          <w:sz w:val="28"/>
          <w:szCs w:val="28"/>
        </w:rPr>
      </w:pPr>
      <w:r>
        <w:rPr>
          <w:rFonts w:hint="eastAsia" w:ascii="仿宋" w:hAnsi="仿宋" w:eastAsia="仿宋" w:cs="华文楷体"/>
          <w:b/>
          <w:bCs/>
          <w:kern w:val="1"/>
          <w:sz w:val="28"/>
          <w:szCs w:val="28"/>
        </w:rPr>
        <w:t>3.作业自动化：采用进口电脑控制系统，全部填装排卸作业中需司机一人操作，不仅减轻环卫工人的劳动强度，而且大大改善了工作环境。</w:t>
      </w:r>
    </w:p>
    <w:p>
      <w:pPr>
        <w:jc w:val="left"/>
        <w:rPr>
          <w:rFonts w:hint="eastAsia" w:ascii="仿宋" w:hAnsi="仿宋" w:eastAsia="仿宋" w:cs="华文楷体"/>
          <w:b/>
          <w:bCs/>
          <w:kern w:val="1"/>
          <w:sz w:val="28"/>
          <w:szCs w:val="28"/>
        </w:rPr>
      </w:pPr>
      <w:r>
        <w:rPr>
          <w:rFonts w:hint="eastAsia" w:ascii="仿宋" w:hAnsi="仿宋" w:eastAsia="仿宋" w:cs="华文楷体"/>
          <w:b/>
          <w:bCs/>
          <w:kern w:val="1"/>
          <w:sz w:val="28"/>
          <w:szCs w:val="28"/>
        </w:rPr>
        <w:t>4.经济性好：专用设备工作时，电脑控制系统自动控制油门。</w:t>
      </w:r>
    </w:p>
    <w:p>
      <w:pPr>
        <w:jc w:val="left"/>
        <w:rPr>
          <w:rFonts w:hint="eastAsia" w:ascii="仿宋" w:hAnsi="仿宋" w:eastAsia="仿宋" w:cs="华文楷体"/>
          <w:b/>
          <w:bCs/>
          <w:kern w:val="1"/>
          <w:sz w:val="28"/>
          <w:szCs w:val="28"/>
        </w:rPr>
      </w:pPr>
      <w:r>
        <w:rPr>
          <w:rFonts w:hint="eastAsia" w:ascii="仿宋" w:hAnsi="仿宋" w:eastAsia="仿宋" w:cs="华文楷体"/>
          <w:b/>
          <w:bCs/>
          <w:kern w:val="1"/>
          <w:sz w:val="28"/>
          <w:szCs w:val="28"/>
        </w:rPr>
        <w:t>5.双保险系统：作业系统具有电脑控制和手动操纵双重功能，安全保障和提高车辆使用率。</w:t>
      </w:r>
    </w:p>
    <w:p>
      <w:pPr>
        <w:jc w:val="left"/>
        <w:rPr>
          <w:rFonts w:hint="eastAsia" w:ascii="仿宋" w:hAnsi="仿宋" w:eastAsia="仿宋" w:cs="华文楷体"/>
          <w:b/>
          <w:bCs/>
          <w:kern w:val="1"/>
          <w:sz w:val="28"/>
          <w:szCs w:val="28"/>
        </w:rPr>
      </w:pPr>
      <w:r>
        <w:rPr>
          <w:rFonts w:hint="eastAsia" w:ascii="仿宋" w:hAnsi="仿宋" w:eastAsia="仿宋" w:cs="华文楷体"/>
          <w:b/>
          <w:bCs/>
          <w:kern w:val="1"/>
          <w:sz w:val="28"/>
          <w:szCs w:val="28"/>
        </w:rPr>
        <w:t>6.翻转机构：可选装配置带垃圾筒（或斗）的翻转机构。</w:t>
      </w:r>
    </w:p>
    <w:p>
      <w:pPr>
        <w:rPr>
          <w:rFonts w:hint="eastAsia"/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七.维护与保养</w:t>
      </w:r>
    </w:p>
    <w:p>
      <w:pPr>
        <w:rPr>
          <w:rFonts w:hint="eastAsia" w:asciiTheme="minorEastAsia" w:hAnsiTheme="minorEastAsia" w:eastAsiaTheme="minorEastAsia" w:cstheme="minorEastAsia"/>
          <w:b/>
          <w:bCs/>
          <w:sz w:val="28"/>
          <w:szCs w:val="28"/>
          <w:lang w:val="en-US" w:eastAsia="zh-CN"/>
        </w:rPr>
      </w:pPr>
      <w:r>
        <w:rPr>
          <w:rFonts w:hint="eastAsia" w:ascii="华文楷体" w:hAnsi="华文楷体" w:eastAsia="华文楷体" w:cs="华文楷体"/>
          <w:b/>
          <w:bCs/>
          <w:sz w:val="28"/>
          <w:szCs w:val="28"/>
          <w:lang w:val="en-US" w:eastAsia="zh-CN"/>
        </w:rPr>
        <w:t>1</w:t>
      </w:r>
      <w:r>
        <w:rPr>
          <w:rFonts w:hint="eastAsia" w:asciiTheme="minorEastAsia" w:hAnsiTheme="minorEastAsia" w:eastAsiaTheme="minorEastAsia" w:cstheme="minorEastAsia"/>
          <w:b/>
          <w:bCs/>
          <w:sz w:val="28"/>
          <w:szCs w:val="28"/>
          <w:lang w:val="en-US" w:eastAsia="zh-CN"/>
        </w:rPr>
        <w:t>.底盘的保养与维修按底盘使用说明书的要求进行。</w:t>
      </w:r>
    </w:p>
    <w:p>
      <w:pPr>
        <w:rPr>
          <w:rFonts w:hint="eastAsia" w:asciiTheme="minorEastAsia" w:hAnsiTheme="minorEastAsia" w:eastAsiaTheme="minorEastAsia" w:cstheme="minorEastAsia"/>
          <w:b/>
          <w:bCs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8"/>
          <w:szCs w:val="28"/>
          <w:lang w:val="en-US" w:eastAsia="zh-CN"/>
        </w:rPr>
        <w:t>2.取力器的保养，换油和底盘变速箱的保养同时进行。</w:t>
      </w:r>
    </w:p>
    <w:p>
      <w:pPr>
        <w:rPr>
          <w:rFonts w:hint="eastAsia" w:asciiTheme="minorEastAsia" w:hAnsiTheme="minorEastAsia" w:eastAsiaTheme="minorEastAsia" w:cstheme="minorEastAsia"/>
          <w:b/>
          <w:bCs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8"/>
          <w:szCs w:val="28"/>
          <w:lang w:val="en-US" w:eastAsia="zh-CN"/>
        </w:rPr>
        <w:t>3.定期检查垃圾车上装工作机构液压油箱液面位置，经常检查液压系统有无渗漏现象，系统是否运行正常。定期检查和更换管路滤油器和液压油。</w:t>
      </w:r>
    </w:p>
    <w:p>
      <w:pPr>
        <w:rPr>
          <w:rFonts w:hint="eastAsia" w:asciiTheme="minorEastAsia" w:hAnsiTheme="minorEastAsia" w:eastAsiaTheme="minorEastAsia" w:cstheme="minorEastAsia"/>
          <w:b/>
          <w:bCs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8"/>
          <w:szCs w:val="28"/>
          <w:lang w:val="en-US" w:eastAsia="zh-CN"/>
        </w:rPr>
        <w:t>4.经常对整车的各连接部位进行检查，保持连接部位紧固可靠。</w:t>
      </w:r>
    </w:p>
    <w:p>
      <w:pPr>
        <w:rPr>
          <w:rFonts w:hint="eastAsia" w:asciiTheme="minorEastAsia" w:hAnsiTheme="minorEastAsia" w:eastAsiaTheme="minorEastAsia" w:cstheme="minorEastAsia"/>
          <w:b/>
          <w:bCs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8"/>
          <w:szCs w:val="28"/>
          <w:lang w:val="en-US" w:eastAsia="zh-CN"/>
        </w:rPr>
        <w:t>5.检查各旋转部位，加注润滑油，保持润滑良好。</w:t>
      </w:r>
    </w:p>
    <w:p>
      <w:pPr>
        <w:rPr>
          <w:rFonts w:hint="eastAsia" w:asciiTheme="minorEastAsia" w:hAnsiTheme="minorEastAsia" w:eastAsiaTheme="minorEastAsia" w:cstheme="minorEastAsia"/>
          <w:b/>
          <w:bCs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8"/>
          <w:szCs w:val="28"/>
          <w:lang w:val="en-US" w:eastAsia="zh-CN"/>
        </w:rPr>
        <w:t>6.经常检查液压系统漏油情况，并及时维修和和更换油封。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_GB2312">
    <w:altName w:val="楷体"/>
    <w:panose1 w:val="00000000000000000000"/>
    <w:charset w:val="00"/>
    <w:family w:val="modern"/>
    <w:pitch w:val="default"/>
    <w:sig w:usb0="00000000" w:usb1="00000000" w:usb2="00000000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36799AC"/>
    <w:multiLevelType w:val="singleLevel"/>
    <w:tmpl w:val="B36799AC"/>
    <w:lvl w:ilvl="0" w:tentative="0">
      <w:start w:val="5"/>
      <w:numFmt w:val="chineseCounting"/>
      <w:lvlText w:val="%1."/>
      <w:lvlJc w:val="left"/>
      <w:pPr>
        <w:tabs>
          <w:tab w:val="left" w:pos="312"/>
        </w:tabs>
      </w:pPr>
      <w:rPr>
        <w:rFonts w:hint="eastAsia"/>
      </w:rPr>
    </w:lvl>
  </w:abstractNum>
  <w:abstractNum w:abstractNumId="1">
    <w:nsid w:val="FAB4E543"/>
    <w:multiLevelType w:val="singleLevel"/>
    <w:tmpl w:val="FAB4E543"/>
    <w:lvl w:ilvl="0" w:tentative="0">
      <w:start w:val="1"/>
      <w:numFmt w:val="chineseCounting"/>
      <w:lvlText w:val="%1."/>
      <w:lvlJc w:val="left"/>
      <w:pPr>
        <w:tabs>
          <w:tab w:val="left" w:pos="312"/>
        </w:tabs>
      </w:pPr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5A89"/>
    <w:rsid w:val="001F5A89"/>
    <w:rsid w:val="004A778B"/>
    <w:rsid w:val="00592A91"/>
    <w:rsid w:val="00630150"/>
    <w:rsid w:val="006F574D"/>
    <w:rsid w:val="0080152E"/>
    <w:rsid w:val="008D5657"/>
    <w:rsid w:val="00960EFB"/>
    <w:rsid w:val="00987DFB"/>
    <w:rsid w:val="00B213E3"/>
    <w:rsid w:val="00C20193"/>
    <w:rsid w:val="00C471E5"/>
    <w:rsid w:val="05511583"/>
    <w:rsid w:val="19307DFE"/>
    <w:rsid w:val="2266030A"/>
    <w:rsid w:val="26D5563C"/>
    <w:rsid w:val="3764147E"/>
    <w:rsid w:val="53FD3076"/>
    <w:rsid w:val="6D574BED"/>
    <w:rsid w:val="7C377583"/>
    <w:rsid w:val="7DBC2A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rPr>
      <w:rFonts w:ascii="Calibri" w:hAnsi="Calibri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页眉 Char"/>
    <w:basedOn w:val="7"/>
    <w:link w:val="4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7"/>
    <w:link w:val="3"/>
    <w:semiHidden/>
    <w:qFormat/>
    <w:uiPriority w:val="99"/>
    <w:rPr>
      <w:sz w:val="18"/>
      <w:szCs w:val="18"/>
    </w:rPr>
  </w:style>
  <w:style w:type="character" w:customStyle="1" w:styleId="10">
    <w:name w:val="批注框文本 Char"/>
    <w:basedOn w:val="7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350</Words>
  <Characters>1997</Characters>
  <Lines>16</Lines>
  <Paragraphs>4</Paragraphs>
  <TotalTime>1</TotalTime>
  <ScaleCrop>false</ScaleCrop>
  <LinksUpToDate>false</LinksUpToDate>
  <CharactersWithSpaces>2343</CharactersWithSpaces>
  <Application>WPS Office_11.1.0.9828_F1E327BC-269C-435d-A152-05C5408002CA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2020-03-27T08:02:00Z</dcterms:created>
  <dc:creator>Windows 用户</dc:creator>
  <cp:lastModifiedBy>A程力专汽吴13872858322</cp:lastModifiedBy>
  <dcterms:modified xsi:type="dcterms:W3CDTF">2020-07-13T02:16:11Z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